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A8A" w:rsidRPr="009F4CBD" w:rsidRDefault="00011A8A" w:rsidP="00011A8A">
      <w:pPr>
        <w:rPr>
          <w:rFonts w:cstheme="minorHAnsi"/>
          <w:b/>
          <w:lang w:val="en-US"/>
        </w:rPr>
      </w:pPr>
      <w:r w:rsidRPr="009F4CBD">
        <w:rPr>
          <w:rFonts w:cstheme="minorHAnsi"/>
          <w:b/>
        </w:rPr>
        <w:t>Nutritional Assessment</w:t>
      </w:r>
    </w:p>
    <w:p w:rsidR="00011A8A" w:rsidRPr="009F4CBD" w:rsidRDefault="00011A8A" w:rsidP="00011A8A">
      <w:pPr>
        <w:ind w:firstLine="708"/>
        <w:rPr>
          <w:rFonts w:cstheme="minorHAnsi"/>
        </w:rPr>
      </w:pPr>
      <w:r w:rsidRPr="009F4CBD">
        <w:rPr>
          <w:rFonts w:cstheme="minorHAnsi"/>
        </w:rPr>
        <w:t>Nutritional assessment is the systematic process of collecting and interpreting information in order to make decisions about the nature and cause of nutrition related health issues that affect an individual (British Dietetic Association (BDA), 2012).</w:t>
      </w:r>
    </w:p>
    <w:p w:rsidR="00011A8A" w:rsidRPr="009F4CBD" w:rsidRDefault="00011A8A" w:rsidP="00011A8A">
      <w:pPr>
        <w:ind w:firstLine="708"/>
        <w:rPr>
          <w:rFonts w:cstheme="minorHAnsi"/>
        </w:rPr>
      </w:pPr>
      <w:r w:rsidRPr="009F4CBD">
        <w:rPr>
          <w:rFonts w:cstheme="minorHAnsi"/>
        </w:rPr>
        <w:t>This differs from nutritional screening which is a brief risk assessment which can be carried out by any healthcare professional and which may lead to a nutritional assessment by a dietetician.</w:t>
      </w:r>
    </w:p>
    <w:p w:rsidR="009F4CBD" w:rsidRPr="009F4CBD" w:rsidRDefault="00011A8A" w:rsidP="009F4CBD">
      <w:pPr>
        <w:ind w:firstLine="708"/>
        <w:rPr>
          <w:rFonts w:cstheme="minorHAnsi"/>
        </w:rPr>
      </w:pPr>
      <w:r w:rsidRPr="009F4CBD">
        <w:rPr>
          <w:rFonts w:cstheme="minorHAnsi"/>
        </w:rPr>
        <w:t>Following a structured assessment path enables health professionals to carry out a quality nutritional assessment in order to identify those who need nutritional intervention, and to improve clinical decision making using a person centred approach. The process promotes consistent quality of practice; is user friendly; and allows effective monitoring of patients. A structured assessment pathway does not remove autonomy; it encourages professional judgement and informed decision making at every stage. The process provides a rationale for the nutritional intervention, and allows for revision of the plan as individual circumstances change over time.</w:t>
      </w:r>
      <w:r w:rsidR="009F4CBD" w:rsidRPr="009F4CBD">
        <w:rPr>
          <w:rFonts w:cstheme="minorHAnsi"/>
        </w:rPr>
        <w:t xml:space="preserve"> </w:t>
      </w:r>
      <w:r w:rsidR="009F4CBD" w:rsidRPr="009F4CBD">
        <w:rPr>
          <w:rFonts w:cstheme="minorHAnsi"/>
        </w:rPr>
        <w:t>BDA nutrition and dietetic care process (BDA, 2012)</w:t>
      </w:r>
    </w:p>
    <w:p w:rsidR="00A4268A" w:rsidRPr="009F4CBD" w:rsidRDefault="00A4268A" w:rsidP="00A4268A">
      <w:pPr>
        <w:ind w:firstLine="708"/>
        <w:rPr>
          <w:rFonts w:cstheme="minorHAnsi"/>
          <w:b/>
          <w:bCs/>
          <w:lang w:val="en-US"/>
        </w:rPr>
      </w:pPr>
      <w:r w:rsidRPr="009F4CBD">
        <w:rPr>
          <w:rFonts w:cstheme="minorHAnsi"/>
          <w:b/>
          <w:bCs/>
        </w:rPr>
        <w:t>Assessment</w:t>
      </w:r>
    </w:p>
    <w:p w:rsidR="00F11B25" w:rsidRPr="00F11B25" w:rsidRDefault="00F11B25" w:rsidP="00F11B25">
      <w:pPr>
        <w:spacing w:after="0" w:line="240" w:lineRule="auto"/>
        <w:rPr>
          <w:rFonts w:cstheme="minorHAnsi"/>
        </w:rPr>
      </w:pPr>
      <w:r w:rsidRPr="00F11B25">
        <w:rPr>
          <w:rFonts w:cstheme="minorHAnsi"/>
        </w:rPr>
        <w:t>When obtaining a patient’s </w:t>
      </w:r>
      <w:hyperlink r:id="rId6" w:tgtFrame="_blank" w:history="1">
        <w:r w:rsidRPr="00F11B25">
          <w:rPr>
            <w:rFonts w:cstheme="minorHAnsi"/>
          </w:rPr>
          <w:t>health history</w:t>
        </w:r>
      </w:hyperlink>
      <w:r w:rsidRPr="00F11B25">
        <w:rPr>
          <w:rFonts w:cstheme="minorHAnsi"/>
        </w:rPr>
        <w:t>, it is important to assess and document the nutritional status. Nutrition is critical in maintaining a healthy weight and to preventing conditions such as cardiovascular disease and diabetes. In addition, adequate nutrition is vital to healing and recovery from illness and injury (Hinkle, 2021). A complete </w:t>
      </w:r>
      <w:hyperlink r:id="rId7" w:tgtFrame="_blank" w:history="1">
        <w:r w:rsidRPr="00F11B25">
          <w:rPr>
            <w:rFonts w:cstheme="minorHAnsi"/>
          </w:rPr>
          <w:t>nutritional assessment</w:t>
        </w:r>
      </w:hyperlink>
      <w:r w:rsidRPr="00F11B25">
        <w:rPr>
          <w:rFonts w:cstheme="minorHAnsi"/>
        </w:rPr>
        <w:t> helps clinicians evaluate overall dietary status, and identify malnutrition and its underlying causes. Malnutrition can be both an inadequate or excessive intake of nutrients and is categorized as follows (Kesari &amp; Noel, 2022):</w:t>
      </w:r>
    </w:p>
    <w:p w:rsidR="00F11B25" w:rsidRPr="00F11B25" w:rsidRDefault="00F11B25" w:rsidP="00F11B25">
      <w:pPr>
        <w:numPr>
          <w:ilvl w:val="0"/>
          <w:numId w:val="8"/>
        </w:numPr>
        <w:shd w:val="clear" w:color="auto" w:fill="FFFFFF"/>
        <w:spacing w:before="100" w:beforeAutospacing="1" w:after="100" w:afterAutospacing="1" w:line="240" w:lineRule="auto"/>
        <w:rPr>
          <w:rFonts w:cstheme="minorHAnsi"/>
        </w:rPr>
      </w:pPr>
      <w:r w:rsidRPr="00F11B25">
        <w:rPr>
          <w:rFonts w:cstheme="minorHAnsi"/>
        </w:rPr>
        <w:t>Undernutrition (low weight-for-height, low height-for-age, and low weight-for-age)</w:t>
      </w:r>
    </w:p>
    <w:p w:rsidR="00F11B25" w:rsidRPr="00F11B25" w:rsidRDefault="00F11B25" w:rsidP="00F11B25">
      <w:pPr>
        <w:numPr>
          <w:ilvl w:val="0"/>
          <w:numId w:val="8"/>
        </w:numPr>
        <w:shd w:val="clear" w:color="auto" w:fill="FFFFFF"/>
        <w:spacing w:before="100" w:beforeAutospacing="1" w:after="100" w:afterAutospacing="1" w:line="240" w:lineRule="auto"/>
        <w:rPr>
          <w:rFonts w:cstheme="minorHAnsi"/>
        </w:rPr>
      </w:pPr>
      <w:r w:rsidRPr="00F11B25">
        <w:rPr>
          <w:rFonts w:cstheme="minorHAnsi"/>
        </w:rPr>
        <w:t>Micronutrient (vitamins and minerals) deficiency or excess</w:t>
      </w:r>
    </w:p>
    <w:p w:rsidR="00F11B25" w:rsidRPr="00F11B25" w:rsidRDefault="00F11B25" w:rsidP="00F11B25">
      <w:pPr>
        <w:numPr>
          <w:ilvl w:val="0"/>
          <w:numId w:val="8"/>
        </w:numPr>
        <w:shd w:val="clear" w:color="auto" w:fill="FFFFFF"/>
        <w:spacing w:before="100" w:beforeAutospacing="1" w:after="100" w:afterAutospacing="1" w:line="240" w:lineRule="auto"/>
        <w:rPr>
          <w:rFonts w:cstheme="minorHAnsi"/>
        </w:rPr>
      </w:pPr>
      <w:r w:rsidRPr="00F11B25">
        <w:rPr>
          <w:rFonts w:cstheme="minorHAnsi"/>
        </w:rPr>
        <w:t>Overnutrition (overweight, obesity, type 2 diabetes mellitus, cardiovascular disease)</w:t>
      </w:r>
    </w:p>
    <w:p w:rsidR="00F11B25" w:rsidRPr="00F11B25" w:rsidRDefault="00F11B25" w:rsidP="00F11B25">
      <w:pPr>
        <w:spacing w:after="0" w:line="240" w:lineRule="auto"/>
        <w:rPr>
          <w:rFonts w:eastAsia="Times New Roman" w:cstheme="minorHAnsi"/>
          <w:b/>
          <w:lang w:eastAsia="ru-RU"/>
        </w:rPr>
      </w:pPr>
      <w:r w:rsidRPr="00F11B25">
        <w:rPr>
          <w:rFonts w:cstheme="minorHAnsi"/>
        </w:rPr>
        <w:t>There’s a mnemonic you can use to remember the different components of a complete nutritional assessment</w:t>
      </w:r>
      <w:r w:rsidR="009F4CBD">
        <w:rPr>
          <w:rFonts w:cstheme="minorHAnsi"/>
          <w:lang w:val="en-US"/>
        </w:rPr>
        <w:t xml:space="preserve"> </w:t>
      </w:r>
      <w:r w:rsidRPr="00F11B25">
        <w:rPr>
          <w:rFonts w:eastAsia="Times New Roman" w:cstheme="minorHAnsi"/>
          <w:color w:val="4E4E4E"/>
          <w:spacing w:val="-1"/>
          <w:shd w:val="clear" w:color="auto" w:fill="FFFFFF"/>
          <w:lang w:eastAsia="ru-RU"/>
        </w:rPr>
        <w:t> </w:t>
      </w:r>
      <w:r w:rsidRPr="00F11B25">
        <w:rPr>
          <w:rFonts w:eastAsia="Times New Roman" w:cstheme="minorHAnsi"/>
          <w:b/>
          <w:bCs/>
          <w:spacing w:val="-1"/>
          <w:shd w:val="clear" w:color="auto" w:fill="FFFFFF"/>
          <w:lang w:eastAsia="ru-RU"/>
        </w:rPr>
        <w:t>ABCD</w:t>
      </w:r>
      <w:r w:rsidRPr="00F11B25">
        <w:rPr>
          <w:rFonts w:eastAsia="Times New Roman" w:cstheme="minorHAnsi"/>
          <w:b/>
          <w:spacing w:val="-1"/>
          <w:shd w:val="clear" w:color="auto" w:fill="FFFFFF"/>
          <w:lang w:eastAsia="ru-RU"/>
        </w:rPr>
        <w:t>: </w:t>
      </w:r>
      <w:r w:rsidRPr="00F11B25">
        <w:rPr>
          <w:rFonts w:eastAsia="Times New Roman" w:cstheme="minorHAnsi"/>
          <w:b/>
          <w:bCs/>
          <w:spacing w:val="-1"/>
          <w:shd w:val="clear" w:color="auto" w:fill="FFFFFF"/>
          <w:lang w:eastAsia="ru-RU"/>
        </w:rPr>
        <w:t>anthropometric, biochemical, clinical, and dietary.</w:t>
      </w:r>
    </w:p>
    <w:p w:rsidR="00F11B25" w:rsidRPr="00F11B25" w:rsidRDefault="00F11B25" w:rsidP="00F11B25">
      <w:pPr>
        <w:shd w:val="clear" w:color="auto" w:fill="FFFFFF"/>
        <w:spacing w:before="300" w:after="150" w:line="240" w:lineRule="auto"/>
        <w:outlineLvl w:val="1"/>
        <w:rPr>
          <w:rFonts w:eastAsia="Times New Roman" w:cstheme="minorHAnsi"/>
          <w:b/>
          <w:color w:val="333333"/>
          <w:spacing w:val="-1"/>
          <w:u w:val="single"/>
          <w:lang w:eastAsia="ru-RU"/>
        </w:rPr>
      </w:pPr>
      <w:r w:rsidRPr="00F11B25">
        <w:rPr>
          <w:rFonts w:eastAsia="Times New Roman" w:cstheme="minorHAnsi"/>
          <w:b/>
          <w:bCs/>
          <w:color w:val="555555"/>
          <w:spacing w:val="-1"/>
          <w:u w:val="single"/>
          <w:lang w:eastAsia="ru-RU"/>
        </w:rPr>
        <w:t>A</w:t>
      </w:r>
      <w:r w:rsidRPr="00F11B25">
        <w:rPr>
          <w:rFonts w:eastAsia="Times New Roman" w:cstheme="minorHAnsi"/>
          <w:b/>
          <w:color w:val="333333"/>
          <w:spacing w:val="-1"/>
          <w:u w:val="single"/>
          <w:lang w:eastAsia="ru-RU"/>
        </w:rPr>
        <w:t>nthropomorphic Measurements</w:t>
      </w:r>
    </w:p>
    <w:p w:rsidR="00F11B25" w:rsidRPr="00F11B25" w:rsidRDefault="00F11B25" w:rsidP="00F11B25">
      <w:pPr>
        <w:spacing w:after="0" w:line="240" w:lineRule="auto"/>
        <w:rPr>
          <w:rFonts w:eastAsia="Times New Roman" w:cstheme="minorHAnsi"/>
          <w:lang w:eastAsia="ru-RU"/>
        </w:rPr>
      </w:pPr>
      <w:r w:rsidRPr="00F11B25">
        <w:rPr>
          <w:rFonts w:eastAsia="Times New Roman" w:cstheme="minorHAnsi"/>
          <w:spacing w:val="-1"/>
          <w:shd w:val="clear" w:color="auto" w:fill="FFFFFF"/>
          <w:lang w:eastAsia="ru-RU"/>
        </w:rPr>
        <w:t>Anthropomorphic measurements are attributes of the human body including size and shape.</w:t>
      </w:r>
    </w:p>
    <w:p w:rsidR="00F11B25" w:rsidRPr="00F11B25" w:rsidRDefault="00F11B25" w:rsidP="00F11B25">
      <w:pPr>
        <w:numPr>
          <w:ilvl w:val="0"/>
          <w:numId w:val="9"/>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Height, weight, and </w:t>
      </w:r>
      <w:hyperlink r:id="rId8" w:tgtFrame="_blank" w:history="1">
        <w:r w:rsidRPr="00F11B25">
          <w:rPr>
            <w:rFonts w:eastAsia="Times New Roman" w:cstheme="minorHAnsi"/>
            <w:spacing w:val="-1"/>
            <w:u w:val="single"/>
            <w:lang w:eastAsia="ru-RU"/>
          </w:rPr>
          <w:t>BMI</w:t>
        </w:r>
      </w:hyperlink>
    </w:p>
    <w:p w:rsidR="00F11B25" w:rsidRPr="00F11B25" w:rsidRDefault="00F11B25" w:rsidP="00F11B25">
      <w:pPr>
        <w:numPr>
          <w:ilvl w:val="0"/>
          <w:numId w:val="9"/>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Circumference (arm, abdomen, and thigh) measurements are indicators of protein stores</w:t>
      </w:r>
    </w:p>
    <w:p w:rsidR="00F11B25" w:rsidRPr="00F11B25" w:rsidRDefault="00F11B25" w:rsidP="00F11B25">
      <w:pPr>
        <w:numPr>
          <w:ilvl w:val="0"/>
          <w:numId w:val="9"/>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Skinfold thickness (biceps, triceps, subscapular, and suprailiac skinfold) is an indicator of energy (fat) stores.</w:t>
      </w:r>
    </w:p>
    <w:p w:rsidR="00F11B25" w:rsidRPr="00F11B25" w:rsidRDefault="00F11B25" w:rsidP="00F11B25">
      <w:pPr>
        <w:shd w:val="clear" w:color="auto" w:fill="FFFFFF"/>
        <w:spacing w:before="300" w:after="150" w:line="240" w:lineRule="auto"/>
        <w:outlineLvl w:val="1"/>
        <w:rPr>
          <w:rFonts w:eastAsia="Times New Roman" w:cstheme="minorHAnsi"/>
          <w:b/>
          <w:spacing w:val="-1"/>
          <w:u w:val="single"/>
          <w:lang w:eastAsia="ru-RU"/>
        </w:rPr>
      </w:pPr>
      <w:r w:rsidRPr="00F11B25">
        <w:rPr>
          <w:rFonts w:eastAsia="Times New Roman" w:cstheme="minorHAnsi"/>
          <w:b/>
          <w:bCs/>
          <w:spacing w:val="-1"/>
          <w:u w:val="single"/>
          <w:lang w:eastAsia="ru-RU"/>
        </w:rPr>
        <w:t>B</w:t>
      </w:r>
      <w:r w:rsidRPr="00F11B25">
        <w:rPr>
          <w:rFonts w:eastAsia="Times New Roman" w:cstheme="minorHAnsi"/>
          <w:b/>
          <w:spacing w:val="-1"/>
          <w:u w:val="single"/>
          <w:lang w:eastAsia="ru-RU"/>
        </w:rPr>
        <w:t>iochemical Measurements</w:t>
      </w:r>
    </w:p>
    <w:p w:rsidR="00F11B25" w:rsidRPr="00F11B25" w:rsidRDefault="00F11B25" w:rsidP="00F11B25">
      <w:pPr>
        <w:spacing w:after="0" w:line="240" w:lineRule="auto"/>
        <w:rPr>
          <w:rFonts w:eastAsia="Times New Roman" w:cstheme="minorHAnsi"/>
          <w:lang w:eastAsia="ru-RU"/>
        </w:rPr>
      </w:pPr>
      <w:r w:rsidRPr="00F11B25">
        <w:rPr>
          <w:rFonts w:eastAsia="Times New Roman" w:cstheme="minorHAnsi"/>
          <w:spacing w:val="-1"/>
          <w:shd w:val="clear" w:color="auto" w:fill="FFFFFF"/>
          <w:lang w:eastAsia="ru-RU"/>
        </w:rPr>
        <w:t>Diagnostic tests are often performed to verify the patient’s clinical presentation.</w:t>
      </w:r>
    </w:p>
    <w:p w:rsidR="00F11B25" w:rsidRPr="00F11B25" w:rsidRDefault="00F11B25" w:rsidP="00F11B25">
      <w:pPr>
        <w:numPr>
          <w:ilvl w:val="0"/>
          <w:numId w:val="10"/>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Routine </w:t>
      </w:r>
      <w:hyperlink r:id="rId9" w:tgtFrame="_blank" w:history="1">
        <w:r w:rsidRPr="00F11B25">
          <w:rPr>
            <w:rFonts w:eastAsia="Times New Roman" w:cstheme="minorHAnsi"/>
            <w:spacing w:val="-1"/>
            <w:u w:val="single"/>
            <w:lang w:eastAsia="ru-RU"/>
          </w:rPr>
          <w:t>laboratory tests</w:t>
        </w:r>
      </w:hyperlink>
      <w:r w:rsidRPr="00F11B25">
        <w:rPr>
          <w:rFonts w:eastAsia="Times New Roman" w:cstheme="minorHAnsi"/>
          <w:spacing w:val="-1"/>
          <w:lang w:eastAsia="ru-RU"/>
        </w:rPr>
        <w:t> such as serum electrolytes, blood urea nitrogen (BUN), creatinine, blood glucose levels, lipid profile, liver enzymes, complete blood count, and cholesterol can identify malnourishment.</w:t>
      </w:r>
    </w:p>
    <w:p w:rsidR="00F11B25" w:rsidRPr="00F11B25" w:rsidRDefault="00F11B25" w:rsidP="00F11B25">
      <w:pPr>
        <w:numPr>
          <w:ilvl w:val="0"/>
          <w:numId w:val="10"/>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Proteins such as albumin, prealbumin, transferrin, and retinol-binding protein can help evaluate nutritional status but should not be used alone.</w:t>
      </w:r>
    </w:p>
    <w:p w:rsidR="00F11B25" w:rsidRPr="00F11B25" w:rsidRDefault="00F11B25" w:rsidP="00F11B25">
      <w:pPr>
        <w:numPr>
          <w:ilvl w:val="0"/>
          <w:numId w:val="10"/>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lastRenderedPageBreak/>
        <w:t>Micronutrient level of B vitamins (thiamine, riboflavin, niacin, pyridoxine, folic acid, B12), vitamins A, C, D, E, and K, iron, zinc, selenium can be measured if deficiencies are suspected.</w:t>
      </w:r>
    </w:p>
    <w:p w:rsidR="00F11B25" w:rsidRPr="00F11B25" w:rsidRDefault="00F11B25" w:rsidP="00F11B25">
      <w:pPr>
        <w:shd w:val="clear" w:color="auto" w:fill="FFFFFF"/>
        <w:spacing w:before="300" w:after="150" w:line="240" w:lineRule="auto"/>
        <w:outlineLvl w:val="1"/>
        <w:rPr>
          <w:rFonts w:eastAsia="Times New Roman" w:cstheme="minorHAnsi"/>
          <w:b/>
          <w:spacing w:val="-1"/>
          <w:u w:val="single"/>
          <w:lang w:eastAsia="ru-RU"/>
        </w:rPr>
      </w:pPr>
      <w:r w:rsidRPr="00F11B25">
        <w:rPr>
          <w:rFonts w:eastAsia="Times New Roman" w:cstheme="minorHAnsi"/>
          <w:b/>
          <w:bCs/>
          <w:spacing w:val="-1"/>
          <w:u w:val="single"/>
          <w:lang w:eastAsia="ru-RU"/>
        </w:rPr>
        <w:t>C</w:t>
      </w:r>
      <w:r w:rsidRPr="00F11B25">
        <w:rPr>
          <w:rFonts w:eastAsia="Times New Roman" w:cstheme="minorHAnsi"/>
          <w:b/>
          <w:spacing w:val="-1"/>
          <w:u w:val="single"/>
          <w:lang w:eastAsia="ru-RU"/>
        </w:rPr>
        <w:t>linical Signs</w:t>
      </w:r>
    </w:p>
    <w:p w:rsidR="00F11B25" w:rsidRPr="00F11B25" w:rsidRDefault="00F11B25" w:rsidP="00F11B25">
      <w:pPr>
        <w:spacing w:after="0" w:line="240" w:lineRule="auto"/>
        <w:rPr>
          <w:rFonts w:eastAsia="Times New Roman" w:cstheme="minorHAnsi"/>
          <w:lang w:eastAsia="ru-RU"/>
        </w:rPr>
      </w:pPr>
      <w:r w:rsidRPr="00F11B25">
        <w:rPr>
          <w:rFonts w:eastAsia="Times New Roman" w:cstheme="minorHAnsi"/>
          <w:spacing w:val="-1"/>
          <w:shd w:val="clear" w:color="auto" w:fill="FFFFFF"/>
          <w:lang w:eastAsia="ru-RU"/>
        </w:rPr>
        <w:t>The patient’s nutritional status is often evident in the </w:t>
      </w:r>
      <w:hyperlink r:id="rId10" w:tgtFrame="_blank" w:history="1">
        <w:r w:rsidRPr="00F11B25">
          <w:rPr>
            <w:rFonts w:eastAsia="Times New Roman" w:cstheme="minorHAnsi"/>
            <w:spacing w:val="-1"/>
            <w:u w:val="single"/>
            <w:shd w:val="clear" w:color="auto" w:fill="FFFFFF"/>
            <w:lang w:eastAsia="ru-RU"/>
          </w:rPr>
          <w:t>head-to-toe physical</w:t>
        </w:r>
      </w:hyperlink>
      <w:r w:rsidRPr="00F11B25">
        <w:rPr>
          <w:rFonts w:eastAsia="Times New Roman" w:cstheme="minorHAnsi"/>
          <w:spacing w:val="-1"/>
          <w:shd w:val="clear" w:color="auto" w:fill="FFFFFF"/>
          <w:lang w:eastAsia="ru-RU"/>
        </w:rPr>
        <w:t> assessment.</w:t>
      </w:r>
      <w:r w:rsidRPr="00F11B25">
        <w:rPr>
          <w:rFonts w:eastAsia="Times New Roman" w:cstheme="minorHAnsi"/>
          <w:spacing w:val="-1"/>
          <w:lang w:eastAsia="ru-RU"/>
        </w:rPr>
        <w:br/>
      </w:r>
      <w:r w:rsidRPr="00F11B25">
        <w:rPr>
          <w:rFonts w:eastAsia="Times New Roman" w:cstheme="minorHAnsi"/>
          <w:spacing w:val="-1"/>
          <w:shd w:val="clear" w:color="auto" w:fill="FFFFFF"/>
          <w:lang w:eastAsia="ru-RU"/>
        </w:rPr>
        <w:t>Carefully examine the patient for the following physical signs that may indicate undernutrition (Chu &amp; Delmore, 2020; Cleveland Clinic, 2022):</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Low body weight, prominent bones</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Muscle wasting</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Poor skin integrity, dry, inelastic skin, rashes, and lesions</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Loss of subcutaneous fat tissue</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Low body temperature</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Low heart rate and blood pressure</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Thin arms and legs with edema in the abdomen and face</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Reduced handgrip strength, weakness, fatigue</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Irritability, apathy, or inattention</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Poor dental health</w:t>
      </w:r>
    </w:p>
    <w:p w:rsidR="00F11B25" w:rsidRPr="00F11B25" w:rsidRDefault="00F11B25" w:rsidP="00F11B25">
      <w:pPr>
        <w:numPr>
          <w:ilvl w:val="0"/>
          <w:numId w:val="11"/>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Brittle hair, hair loss, or hair color loss</w:t>
      </w:r>
    </w:p>
    <w:p w:rsidR="00F11B25" w:rsidRPr="00F11B25" w:rsidRDefault="00F11B25" w:rsidP="00F11B25">
      <w:pPr>
        <w:spacing w:after="0" w:line="240" w:lineRule="auto"/>
        <w:rPr>
          <w:rFonts w:eastAsia="Times New Roman" w:cstheme="minorHAnsi"/>
          <w:lang w:eastAsia="ru-RU"/>
        </w:rPr>
      </w:pPr>
      <w:r w:rsidRPr="00F11B25">
        <w:rPr>
          <w:rFonts w:eastAsia="Times New Roman" w:cstheme="minorHAnsi"/>
          <w:spacing w:val="-1"/>
          <w:shd w:val="clear" w:color="auto" w:fill="FFFFFF"/>
          <w:lang w:eastAsia="ru-RU"/>
        </w:rPr>
        <w:t>Conversely, these physical signs may indicate overnutrition (Chu &amp; Delmore, 2020; Cleveland Clinic, 2022):</w:t>
      </w:r>
    </w:p>
    <w:p w:rsidR="00F11B25" w:rsidRPr="009F4CBD" w:rsidRDefault="00F11B25" w:rsidP="009F4CBD">
      <w:pPr>
        <w:pStyle w:val="a4"/>
        <w:numPr>
          <w:ilvl w:val="0"/>
          <w:numId w:val="14"/>
        </w:numPr>
        <w:shd w:val="clear" w:color="auto" w:fill="FFFFFF"/>
        <w:spacing w:before="100" w:beforeAutospacing="1" w:after="100" w:afterAutospacing="1" w:line="240" w:lineRule="auto"/>
        <w:rPr>
          <w:rFonts w:eastAsia="Times New Roman" w:cstheme="minorHAnsi"/>
          <w:spacing w:val="-1"/>
          <w:lang w:eastAsia="ru-RU"/>
        </w:rPr>
      </w:pPr>
      <w:r w:rsidRPr="009F4CBD">
        <w:rPr>
          <w:rFonts w:eastAsia="Times New Roman" w:cstheme="minorHAnsi"/>
          <w:spacing w:val="-1"/>
          <w:lang w:eastAsia="ru-RU"/>
        </w:rPr>
        <w:t>Obesity</w:t>
      </w:r>
      <w:r w:rsidR="009F4CBD" w:rsidRPr="009F4CBD">
        <w:rPr>
          <w:rFonts w:eastAsia="Times New Roman" w:cstheme="minorHAnsi"/>
          <w:spacing w:val="-1"/>
          <w:lang w:val="en-US" w:eastAsia="ru-RU"/>
        </w:rPr>
        <w:t xml:space="preserve"> </w:t>
      </w:r>
      <w:r w:rsidRPr="009F4CBD">
        <w:rPr>
          <w:rFonts w:eastAsia="Times New Roman" w:cstheme="minorHAnsi"/>
          <w:spacing w:val="-1"/>
          <w:lang w:eastAsia="ru-RU"/>
        </w:rPr>
        <w:t>Is adipose tissue distributed evenly, concentrated over the upper torso, or around the hips?</w:t>
      </w:r>
    </w:p>
    <w:p w:rsidR="00F11B25" w:rsidRPr="00F11B25" w:rsidRDefault="00F11B25" w:rsidP="009F4CBD">
      <w:pPr>
        <w:numPr>
          <w:ilvl w:val="0"/>
          <w:numId w:val="14"/>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High blood pressure</w:t>
      </w:r>
    </w:p>
    <w:p w:rsidR="00F11B25" w:rsidRPr="00F11B25" w:rsidRDefault="00F11B25" w:rsidP="009F4CBD">
      <w:pPr>
        <w:numPr>
          <w:ilvl w:val="0"/>
          <w:numId w:val="14"/>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Insulin resistance and hyperglycemia</w:t>
      </w:r>
    </w:p>
    <w:p w:rsidR="00F11B25" w:rsidRPr="00F11B25" w:rsidRDefault="00F11B25" w:rsidP="00F11B25">
      <w:pPr>
        <w:shd w:val="clear" w:color="auto" w:fill="FFFFFF"/>
        <w:spacing w:before="300" w:after="150" w:line="240" w:lineRule="auto"/>
        <w:outlineLvl w:val="1"/>
        <w:rPr>
          <w:rFonts w:eastAsia="Times New Roman" w:cstheme="minorHAnsi"/>
          <w:b/>
          <w:spacing w:val="-1"/>
          <w:u w:val="single"/>
          <w:lang w:eastAsia="ru-RU"/>
        </w:rPr>
      </w:pPr>
      <w:r w:rsidRPr="00F11B25">
        <w:rPr>
          <w:rFonts w:eastAsia="Times New Roman" w:cstheme="minorHAnsi"/>
          <w:b/>
          <w:bCs/>
          <w:spacing w:val="-1"/>
          <w:u w:val="single"/>
          <w:lang w:eastAsia="ru-RU"/>
        </w:rPr>
        <w:t>D</w:t>
      </w:r>
      <w:r w:rsidRPr="00F11B25">
        <w:rPr>
          <w:rFonts w:eastAsia="Times New Roman" w:cstheme="minorHAnsi"/>
          <w:b/>
          <w:spacing w:val="-1"/>
          <w:u w:val="single"/>
          <w:lang w:eastAsia="ru-RU"/>
        </w:rPr>
        <w:t>ietary</w:t>
      </w:r>
    </w:p>
    <w:p w:rsidR="00F11B25" w:rsidRPr="00F11B25" w:rsidRDefault="00F11B25" w:rsidP="00F11B25">
      <w:pPr>
        <w:spacing w:after="0" w:line="240" w:lineRule="auto"/>
        <w:rPr>
          <w:rFonts w:eastAsia="Times New Roman" w:cstheme="minorHAnsi"/>
          <w:lang w:eastAsia="ru-RU"/>
        </w:rPr>
      </w:pPr>
      <w:r w:rsidRPr="00F11B25">
        <w:rPr>
          <w:rFonts w:eastAsia="Times New Roman" w:cstheme="minorHAnsi"/>
          <w:spacing w:val="-1"/>
          <w:shd w:val="clear" w:color="auto" w:fill="FFFFFF"/>
          <w:lang w:eastAsia="ru-RU"/>
        </w:rPr>
        <w:t>Complete the comprehensive nutritional assessment by asking questions that allow the patient to provide subjective responses related to their daily dietary habits (Bickley, 2021).</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Have you experienced a loss of appetite?</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Can you describe your eating habits?</w:t>
      </w:r>
    </w:p>
    <w:p w:rsidR="00F11B25" w:rsidRPr="00F11B25" w:rsidRDefault="00F11B25" w:rsidP="00F11B25">
      <w:pPr>
        <w:numPr>
          <w:ilvl w:val="1"/>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Do you eat fruits and vegetables daily?</w:t>
      </w:r>
    </w:p>
    <w:p w:rsidR="00F11B25" w:rsidRPr="00F11B25" w:rsidRDefault="00F11B25" w:rsidP="00F11B25">
      <w:pPr>
        <w:numPr>
          <w:ilvl w:val="1"/>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What do you eat on a typical day?</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Have you maintained the same weight, or has it fluctuated?</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How do you feel about your current weight?</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Do you prepare your meals at home?</w:t>
      </w:r>
    </w:p>
    <w:p w:rsidR="00F11B25" w:rsidRPr="00F11B25" w:rsidRDefault="00F11B25" w:rsidP="00F11B25">
      <w:pPr>
        <w:numPr>
          <w:ilvl w:val="1"/>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How many meals do you eat each day and what are your portion sizes?</w:t>
      </w:r>
    </w:p>
    <w:p w:rsidR="00F11B25" w:rsidRPr="00F11B25" w:rsidRDefault="00F11B25" w:rsidP="00F11B25">
      <w:pPr>
        <w:numPr>
          <w:ilvl w:val="1"/>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How often do you eat out?</w:t>
      </w:r>
    </w:p>
    <w:p w:rsidR="00F11B25" w:rsidRPr="00F11B25" w:rsidRDefault="00F11B25" w:rsidP="00F11B25">
      <w:pPr>
        <w:numPr>
          <w:ilvl w:val="1"/>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Do you follow any restrictive diets (i.e., vegan, vegetarian)?</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Do you exercise and if so, how often?</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Have you experienced nausea or vomiting?</w:t>
      </w:r>
    </w:p>
    <w:p w:rsidR="00F11B25" w:rsidRPr="00F11B25" w:rsidRDefault="00F11B25" w:rsidP="00F11B25">
      <w:pPr>
        <w:numPr>
          <w:ilvl w:val="0"/>
          <w:numId w:val="13"/>
        </w:numPr>
        <w:shd w:val="clear" w:color="auto" w:fill="FFFFFF"/>
        <w:spacing w:before="100" w:beforeAutospacing="1" w:after="100" w:afterAutospacing="1" w:line="240" w:lineRule="auto"/>
        <w:rPr>
          <w:rFonts w:eastAsia="Times New Roman" w:cstheme="minorHAnsi"/>
          <w:spacing w:val="-1"/>
          <w:lang w:eastAsia="ru-RU"/>
        </w:rPr>
      </w:pPr>
      <w:r w:rsidRPr="00F11B25">
        <w:rPr>
          <w:rFonts w:eastAsia="Times New Roman" w:cstheme="minorHAnsi"/>
          <w:spacing w:val="-1"/>
          <w:lang w:eastAsia="ru-RU"/>
        </w:rPr>
        <w:t>Have you noticed any changes in your menstrual cycle?</w:t>
      </w:r>
    </w:p>
    <w:p w:rsidR="00FB5863" w:rsidRPr="009F4CBD" w:rsidRDefault="00FB5863" w:rsidP="00A4268A">
      <w:pPr>
        <w:ind w:firstLine="708"/>
        <w:rPr>
          <w:rFonts w:cstheme="minorHAnsi"/>
          <w:i/>
          <w:iCs/>
          <w:lang w:val="en-US"/>
        </w:rPr>
      </w:pPr>
    </w:p>
    <w:p w:rsidR="009F4CBD" w:rsidRDefault="009F4CBD" w:rsidP="00A4268A">
      <w:pPr>
        <w:ind w:firstLine="708"/>
        <w:rPr>
          <w:rFonts w:cstheme="minorHAnsi"/>
          <w:i/>
          <w:iCs/>
          <w:lang w:val="en-US"/>
        </w:rPr>
      </w:pPr>
    </w:p>
    <w:p w:rsidR="009F4CBD" w:rsidRDefault="009F4CBD" w:rsidP="00A4268A">
      <w:pPr>
        <w:ind w:firstLine="708"/>
        <w:rPr>
          <w:rFonts w:cstheme="minorHAnsi"/>
          <w:i/>
          <w:iCs/>
          <w:lang w:val="en-US"/>
        </w:rPr>
      </w:pPr>
    </w:p>
    <w:p w:rsidR="00A4268A" w:rsidRPr="009F4CBD" w:rsidRDefault="00A4268A" w:rsidP="00A4268A">
      <w:pPr>
        <w:ind w:firstLine="708"/>
        <w:rPr>
          <w:rFonts w:cstheme="minorHAnsi"/>
          <w:b/>
          <w:u w:val="single"/>
        </w:rPr>
      </w:pPr>
      <w:r w:rsidRPr="009F4CBD">
        <w:rPr>
          <w:rFonts w:cstheme="minorHAnsi"/>
          <w:b/>
          <w:iCs/>
          <w:u w:val="single"/>
        </w:rPr>
        <w:lastRenderedPageBreak/>
        <w:t>A: Anthropometry</w:t>
      </w:r>
    </w:p>
    <w:p w:rsidR="00A4268A" w:rsidRPr="009F4CBD" w:rsidRDefault="00A4268A" w:rsidP="00A4268A">
      <w:pPr>
        <w:ind w:firstLine="708"/>
        <w:rPr>
          <w:rFonts w:cstheme="minorHAnsi"/>
        </w:rPr>
      </w:pPr>
      <w:r w:rsidRPr="009F4CBD">
        <w:rPr>
          <w:rFonts w:cstheme="minorHAnsi"/>
        </w:rPr>
        <w:t>Anthropometry allows for an assessment of the different component parts of the human body. Body composition refers to the anatomical makeup of the body in terms of bone, muscle, water and fat. A single measure will not provide a comprehensive overview of the patients’ condition and so a number of measurements are required to form a more reasoned assessment.  In malnutrition, changes in body composition lead to </w:t>
      </w:r>
      <w:hyperlink r:id="rId11" w:history="1">
        <w:r w:rsidRPr="009F4CBD">
          <w:rPr>
            <w:rStyle w:val="a3"/>
            <w:rFonts w:cstheme="minorHAnsi"/>
            <w:color w:val="auto"/>
          </w:rPr>
          <w:t>Introduction to Malnutrition</w:t>
        </w:r>
      </w:hyperlink>
      <w:r w:rsidRPr="009F4CBD">
        <w:rPr>
          <w:rFonts w:cstheme="minorHAnsi"/>
        </w:rPr>
        <w:t>.</w:t>
      </w:r>
    </w:p>
    <w:p w:rsidR="00A4268A" w:rsidRPr="009F4CBD" w:rsidRDefault="00A4268A" w:rsidP="00A4268A">
      <w:pPr>
        <w:ind w:firstLine="708"/>
        <w:rPr>
          <w:rFonts w:cstheme="minorHAnsi"/>
        </w:rPr>
      </w:pPr>
      <w:r w:rsidRPr="009F4CBD">
        <w:rPr>
          <w:rFonts w:cstheme="minorHAnsi"/>
        </w:rPr>
        <w:t>Anthropometric measurements that can be used to assess body composition.</w:t>
      </w:r>
    </w:p>
    <w:tbl>
      <w:tblPr>
        <w:tblW w:w="9889"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260"/>
        <w:gridCol w:w="2431"/>
        <w:gridCol w:w="5198"/>
      </w:tblGrid>
      <w:tr w:rsidR="009F4CBD" w:rsidRPr="009F4CBD" w:rsidTr="009F4CBD">
        <w:trPr>
          <w:tblHeader/>
        </w:trPr>
        <w:tc>
          <w:tcPr>
            <w:tcW w:w="0" w:type="auto"/>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A4268A" w:rsidRPr="009F4CBD" w:rsidRDefault="00A4268A" w:rsidP="009F4CBD">
            <w:pPr>
              <w:rPr>
                <w:rFonts w:cstheme="minorHAnsi"/>
                <w:b/>
                <w:bCs/>
              </w:rPr>
            </w:pPr>
            <w:r w:rsidRPr="009F4CBD">
              <w:rPr>
                <w:rFonts w:cstheme="minorHAnsi"/>
                <w:b/>
                <w:bCs/>
              </w:rPr>
              <w:t>Measurement</w:t>
            </w:r>
          </w:p>
        </w:tc>
        <w:tc>
          <w:tcPr>
            <w:tcW w:w="4345" w:type="dxa"/>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A4268A" w:rsidRPr="009F4CBD" w:rsidRDefault="00A4268A" w:rsidP="009F4CBD">
            <w:pPr>
              <w:rPr>
                <w:rFonts w:cstheme="minorHAnsi"/>
                <w:b/>
                <w:bCs/>
              </w:rPr>
            </w:pPr>
            <w:r w:rsidRPr="009F4CBD">
              <w:rPr>
                <w:rFonts w:cstheme="minorHAnsi"/>
                <w:b/>
                <w:bCs/>
              </w:rPr>
              <w:t>Equation/ method</w:t>
            </w:r>
          </w:p>
        </w:tc>
        <w:tc>
          <w:tcPr>
            <w:tcW w:w="0" w:type="auto"/>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A4268A" w:rsidRPr="009F4CBD" w:rsidRDefault="00A4268A" w:rsidP="009F4CBD">
            <w:pPr>
              <w:rPr>
                <w:rFonts w:cstheme="minorHAnsi"/>
                <w:b/>
                <w:bCs/>
              </w:rPr>
            </w:pPr>
            <w:r w:rsidRPr="009F4CBD">
              <w:rPr>
                <w:rFonts w:cstheme="minorHAnsi"/>
                <w:b/>
                <w:bCs/>
              </w:rPr>
              <w:t>Interpretation of results</w:t>
            </w:r>
          </w:p>
        </w:tc>
      </w:tr>
      <w:tr w:rsidR="009F4CBD" w:rsidRPr="009F4CBD" w:rsidTr="009F4CBD">
        <w:tc>
          <w:tcPr>
            <w:tcW w:w="1901"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Weight and % weight change</w:t>
            </w:r>
          </w:p>
        </w:tc>
        <w:tc>
          <w:tcPr>
            <w:tcW w:w="434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 weight change = (previous weight - current weight / previous weight) x 100</w:t>
            </w:r>
          </w:p>
        </w:tc>
        <w:tc>
          <w:tcPr>
            <w:tcW w:w="3643"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A patient is indicated for nutrition support if they have:</w:t>
            </w:r>
          </w:p>
          <w:p w:rsidR="00A4268A" w:rsidRPr="009F4CBD" w:rsidRDefault="00A4268A" w:rsidP="009F4CBD">
            <w:pPr>
              <w:numPr>
                <w:ilvl w:val="0"/>
                <w:numId w:val="1"/>
              </w:numPr>
              <w:ind w:firstLine="0"/>
              <w:rPr>
                <w:rFonts w:cstheme="minorHAnsi"/>
              </w:rPr>
            </w:pPr>
            <w:r w:rsidRPr="009F4CBD">
              <w:rPr>
                <w:rFonts w:cstheme="minorHAnsi"/>
              </w:rPr>
              <w:t>BMI &lt;18.5kg/m</w:t>
            </w:r>
            <w:r w:rsidRPr="009F4CBD">
              <w:rPr>
                <w:rFonts w:cstheme="minorHAnsi"/>
                <w:vertAlign w:val="superscript"/>
              </w:rPr>
              <w:t>2</w:t>
            </w:r>
          </w:p>
          <w:p w:rsidR="00A4268A" w:rsidRPr="009F4CBD" w:rsidRDefault="00A4268A" w:rsidP="009F4CBD">
            <w:pPr>
              <w:numPr>
                <w:ilvl w:val="0"/>
                <w:numId w:val="1"/>
              </w:numPr>
              <w:ind w:firstLine="0"/>
              <w:rPr>
                <w:rFonts w:cstheme="minorHAnsi"/>
              </w:rPr>
            </w:pPr>
            <w:r w:rsidRPr="009F4CBD">
              <w:rPr>
                <w:rFonts w:cstheme="minorHAnsi"/>
              </w:rPr>
              <w:t>Unintentional weight loss of &gt;10% in the previous 3-6 months</w:t>
            </w:r>
          </w:p>
          <w:p w:rsidR="00A4268A" w:rsidRPr="009F4CBD" w:rsidRDefault="00A4268A" w:rsidP="009F4CBD">
            <w:pPr>
              <w:numPr>
                <w:ilvl w:val="0"/>
                <w:numId w:val="1"/>
              </w:numPr>
              <w:ind w:firstLine="0"/>
              <w:rPr>
                <w:rFonts w:cstheme="minorHAnsi"/>
              </w:rPr>
            </w:pPr>
            <w:r w:rsidRPr="009F4CBD">
              <w:rPr>
                <w:rFonts w:cstheme="minorHAnsi"/>
              </w:rPr>
              <w:t>BMI &lt;20kg/m</w:t>
            </w:r>
            <w:r w:rsidRPr="009F4CBD">
              <w:rPr>
                <w:rFonts w:cstheme="minorHAnsi"/>
                <w:vertAlign w:val="superscript"/>
              </w:rPr>
              <w:t>2</w:t>
            </w:r>
            <w:r w:rsidRPr="009F4CBD">
              <w:rPr>
                <w:rFonts w:cstheme="minorHAnsi"/>
              </w:rPr>
              <w:t> and unintentional weight loss &gt;5% in the previous 3-6 months.</w:t>
            </w:r>
          </w:p>
          <w:p w:rsidR="00000000" w:rsidRPr="009F4CBD" w:rsidRDefault="00A4268A" w:rsidP="009F4CBD">
            <w:pPr>
              <w:rPr>
                <w:rFonts w:cstheme="minorHAnsi"/>
              </w:rPr>
            </w:pPr>
            <w:r w:rsidRPr="009F4CBD">
              <w:rPr>
                <w:rFonts w:cstheme="minorHAnsi"/>
                <w:i/>
                <w:iCs/>
              </w:rPr>
              <w:t>(NICE, 2006)</w:t>
            </w:r>
          </w:p>
        </w:tc>
      </w:tr>
      <w:tr w:rsidR="009F4CBD" w:rsidRPr="009F4CBD" w:rsidTr="009F4CBD">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Body mass index (BMI)</w:t>
            </w:r>
          </w:p>
        </w:tc>
        <w:tc>
          <w:tcPr>
            <w:tcW w:w="434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BMI (kg/m</w:t>
            </w:r>
            <w:r w:rsidRPr="009F4CBD">
              <w:rPr>
                <w:rFonts w:cstheme="minorHAnsi"/>
                <w:vertAlign w:val="superscript"/>
              </w:rPr>
              <w:t>2</w:t>
            </w:r>
            <w:r w:rsidRPr="009F4CBD">
              <w:rPr>
                <w:rFonts w:cstheme="minorHAnsi"/>
              </w:rPr>
              <w:t>) = weight (kg) / height </w:t>
            </w:r>
            <w:r w:rsidRPr="009F4CBD">
              <w:rPr>
                <w:rFonts w:cstheme="minorHAnsi"/>
                <w:vertAlign w:val="superscript"/>
              </w:rPr>
              <w:t>2</w:t>
            </w:r>
            <w:r w:rsidRPr="009F4CBD">
              <w:rPr>
                <w:rFonts w:cstheme="minorHAnsi"/>
              </w:rPr>
              <w:t> (m</w:t>
            </w:r>
            <w:r w:rsidRPr="009F4CBD">
              <w:rPr>
                <w:rFonts w:cstheme="minorHAnsi"/>
                <w:vertAlign w:val="superscript"/>
              </w:rPr>
              <w:t>2</w:t>
            </w:r>
            <w:r w:rsidRPr="009F4CBD">
              <w:rPr>
                <w:rFonts w:cstheme="minorHAnsi"/>
              </w:rPr>
              <w:t>)</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numPr>
                <w:ilvl w:val="0"/>
                <w:numId w:val="2"/>
              </w:numPr>
              <w:ind w:firstLine="0"/>
              <w:rPr>
                <w:rFonts w:cstheme="minorHAnsi"/>
              </w:rPr>
            </w:pPr>
            <w:r w:rsidRPr="009F4CBD">
              <w:rPr>
                <w:rFonts w:cstheme="minorHAnsi"/>
              </w:rPr>
              <w:t>If BMI &lt;18.5kg/m</w:t>
            </w:r>
            <w:r w:rsidRPr="009F4CBD">
              <w:rPr>
                <w:rFonts w:cstheme="minorHAnsi"/>
                <w:vertAlign w:val="superscript"/>
              </w:rPr>
              <w:t>2</w:t>
            </w:r>
            <w:r w:rsidRPr="009F4CBD">
              <w:rPr>
                <w:rFonts w:cstheme="minorHAnsi"/>
              </w:rPr>
              <w:t> patient is underweight</w:t>
            </w:r>
          </w:p>
          <w:p w:rsidR="00A4268A" w:rsidRPr="009F4CBD" w:rsidRDefault="00A4268A" w:rsidP="009F4CBD">
            <w:pPr>
              <w:numPr>
                <w:ilvl w:val="0"/>
                <w:numId w:val="2"/>
              </w:numPr>
              <w:ind w:firstLine="0"/>
              <w:rPr>
                <w:rFonts w:cstheme="minorHAnsi"/>
              </w:rPr>
            </w:pPr>
            <w:r w:rsidRPr="009F4CBD">
              <w:rPr>
                <w:rFonts w:cstheme="minorHAnsi"/>
              </w:rPr>
              <w:t>If BMI 18.5-25kg/m</w:t>
            </w:r>
            <w:r w:rsidRPr="009F4CBD">
              <w:rPr>
                <w:rFonts w:cstheme="minorHAnsi"/>
                <w:vertAlign w:val="superscript"/>
              </w:rPr>
              <w:t>2</w:t>
            </w:r>
            <w:r w:rsidRPr="009F4CBD">
              <w:rPr>
                <w:rFonts w:cstheme="minorHAnsi"/>
              </w:rPr>
              <w:t> patient is in normal BMI range</w:t>
            </w:r>
          </w:p>
          <w:p w:rsidR="00A4268A" w:rsidRPr="009F4CBD" w:rsidRDefault="00A4268A" w:rsidP="009F4CBD">
            <w:pPr>
              <w:numPr>
                <w:ilvl w:val="0"/>
                <w:numId w:val="2"/>
              </w:numPr>
              <w:ind w:firstLine="0"/>
              <w:rPr>
                <w:rFonts w:cstheme="minorHAnsi"/>
              </w:rPr>
            </w:pPr>
            <w:r w:rsidRPr="009F4CBD">
              <w:rPr>
                <w:rFonts w:cstheme="minorHAnsi"/>
              </w:rPr>
              <w:t>If BMI &gt;25kg/m</w:t>
            </w:r>
            <w:r w:rsidRPr="009F4CBD">
              <w:rPr>
                <w:rFonts w:cstheme="minorHAnsi"/>
                <w:vertAlign w:val="superscript"/>
              </w:rPr>
              <w:t>2</w:t>
            </w:r>
            <w:r w:rsidRPr="009F4CBD">
              <w:rPr>
                <w:rFonts w:cstheme="minorHAnsi"/>
              </w:rPr>
              <w:t> patient is overweight</w:t>
            </w:r>
          </w:p>
          <w:p w:rsidR="00000000" w:rsidRPr="009F4CBD" w:rsidRDefault="00A4268A" w:rsidP="009F4CBD">
            <w:pPr>
              <w:rPr>
                <w:rFonts w:cstheme="minorHAnsi"/>
              </w:rPr>
            </w:pPr>
            <w:r w:rsidRPr="009F4CBD">
              <w:rPr>
                <w:rFonts w:cstheme="minorHAnsi"/>
                <w:i/>
                <w:iCs/>
              </w:rPr>
              <w:t>(WHO, 2016)</w:t>
            </w:r>
          </w:p>
        </w:tc>
      </w:tr>
      <w:tr w:rsidR="009F4CBD" w:rsidRPr="009F4CBD" w:rsidTr="009F4CBD">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Mid upper arm circumference (MUAC)</w:t>
            </w:r>
          </w:p>
        </w:tc>
        <w:tc>
          <w:tcPr>
            <w:tcW w:w="434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 xml:space="preserve">Involves measuring the circumference of the mid-point on upper arm using a tape measure. This is a surrogate measure of both fat mass and fat free mass. It is a useful measure when a person cannot be weighed or if their weight is not likely to </w:t>
            </w:r>
            <w:r w:rsidRPr="009F4CBD">
              <w:rPr>
                <w:rFonts w:cstheme="minorHAnsi"/>
              </w:rPr>
              <w:lastRenderedPageBreak/>
              <w:t>be a true reflection of the persons’ actual weight, e.g. if the patient has oedema or ascites.</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numPr>
                <w:ilvl w:val="0"/>
                <w:numId w:val="3"/>
              </w:numPr>
              <w:ind w:firstLine="0"/>
              <w:rPr>
                <w:rFonts w:cstheme="minorHAnsi"/>
              </w:rPr>
            </w:pPr>
            <w:r w:rsidRPr="009F4CBD">
              <w:rPr>
                <w:rFonts w:cstheme="minorHAnsi"/>
              </w:rPr>
              <w:lastRenderedPageBreak/>
              <w:t>If MUAC is &gt;23.5cm the patient is likely to have a healthy BMI and is at low risk of malnutrition.</w:t>
            </w:r>
          </w:p>
          <w:p w:rsidR="00A4268A" w:rsidRPr="009F4CBD" w:rsidRDefault="00A4268A" w:rsidP="009F4CBD">
            <w:pPr>
              <w:numPr>
                <w:ilvl w:val="0"/>
                <w:numId w:val="3"/>
              </w:numPr>
              <w:ind w:firstLine="0"/>
              <w:rPr>
                <w:rFonts w:cstheme="minorHAnsi"/>
              </w:rPr>
            </w:pPr>
            <w:r w:rsidRPr="009F4CBD">
              <w:rPr>
                <w:rFonts w:cstheme="minorHAnsi"/>
              </w:rPr>
              <w:t>If MUAC is &lt;23.5cm the patient is likely to have a BMI &lt;20kg/m</w:t>
            </w:r>
            <w:r w:rsidRPr="009F4CBD">
              <w:rPr>
                <w:rFonts w:cstheme="minorHAnsi"/>
                <w:vertAlign w:val="superscript"/>
              </w:rPr>
              <w:t>2</w:t>
            </w:r>
            <w:r w:rsidRPr="009F4CBD">
              <w:rPr>
                <w:rFonts w:cstheme="minorHAnsi"/>
              </w:rPr>
              <w:t> and may be at risk of malnutrition.</w:t>
            </w:r>
          </w:p>
          <w:p w:rsidR="00000000" w:rsidRPr="009F4CBD" w:rsidRDefault="00A4268A" w:rsidP="009F4CBD">
            <w:pPr>
              <w:rPr>
                <w:rFonts w:cstheme="minorHAnsi"/>
              </w:rPr>
            </w:pPr>
            <w:r w:rsidRPr="009F4CBD">
              <w:rPr>
                <w:rFonts w:cstheme="minorHAnsi"/>
              </w:rPr>
              <w:t>(BAPEN, 2011)</w:t>
            </w:r>
          </w:p>
        </w:tc>
      </w:tr>
      <w:tr w:rsidR="00A4268A" w:rsidRPr="009F4CBD" w:rsidTr="009F4CBD">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lastRenderedPageBreak/>
              <w:t>Skin fold thickness</w:t>
            </w:r>
          </w:p>
        </w:tc>
        <w:tc>
          <w:tcPr>
            <w:tcW w:w="434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Measurement requires a trained person using skin fold callipers which have been calibrated. Skin fold measurements can be taken at 4 different sites: suprailliac, subscapular, biceps, triceps (TSF; most commonly used). Measurement should be repeated 3 times and the mean result recorded. This is a surrogate measure of total fat mass. Longitudinal measurements can be used to identify any changes in fat mass.</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Centile tables can be used to interpret skin fold thickness measurements.</w:t>
            </w:r>
          </w:p>
        </w:tc>
      </w:tr>
      <w:tr w:rsidR="00A4268A" w:rsidRPr="009F4CBD" w:rsidTr="009F4CBD">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Mid arm muscle circumference (MAMC)</w:t>
            </w:r>
          </w:p>
        </w:tc>
        <w:tc>
          <w:tcPr>
            <w:tcW w:w="434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MAMC is a surrogate measure of fat free mass and is calculated using MUAC and TSF.</w:t>
            </w:r>
            <w:r w:rsidRPr="009F4CBD">
              <w:rPr>
                <w:rFonts w:cstheme="minorHAnsi"/>
              </w:rPr>
              <w:br/>
            </w:r>
            <w:r w:rsidRPr="009F4CBD">
              <w:rPr>
                <w:rFonts w:cstheme="minorHAnsi"/>
              </w:rPr>
              <w:br/>
              <w:t>MAMC (cm) = MUAC (cm) – 3.14 x TSF (cm)</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9F4CBD">
            <w:pPr>
              <w:rPr>
                <w:rFonts w:cstheme="minorHAnsi"/>
              </w:rPr>
            </w:pPr>
            <w:r w:rsidRPr="009F4CBD">
              <w:rPr>
                <w:rFonts w:cstheme="minorHAnsi"/>
              </w:rPr>
              <w:t>Centile tables allow assessment of changes in total body muscle mass over time.</w:t>
            </w:r>
          </w:p>
        </w:tc>
      </w:tr>
    </w:tbl>
    <w:p w:rsidR="009F4CBD" w:rsidRDefault="009F4CBD" w:rsidP="00A4268A">
      <w:pPr>
        <w:ind w:firstLine="708"/>
        <w:rPr>
          <w:rFonts w:cstheme="minorHAnsi"/>
          <w:lang w:val="en-US"/>
        </w:rPr>
      </w:pPr>
    </w:p>
    <w:p w:rsidR="00A4268A" w:rsidRPr="009F4CBD" w:rsidRDefault="00A4268A" w:rsidP="00A4268A">
      <w:pPr>
        <w:ind w:firstLine="708"/>
        <w:rPr>
          <w:rFonts w:cstheme="minorHAnsi"/>
        </w:rPr>
      </w:pPr>
      <w:r w:rsidRPr="009F4CBD">
        <w:rPr>
          <w:rFonts w:cstheme="minorHAnsi"/>
        </w:rPr>
        <w:t>Other visual signs may indicate recent weight loss such as loose jewellery, baggy clothes, extra notch in belt, ill-fitting dentures, loose or thin looking skin, and prominent bony features.</w:t>
      </w:r>
    </w:p>
    <w:p w:rsidR="009F4CBD" w:rsidRDefault="009F4CBD" w:rsidP="00A4268A">
      <w:pPr>
        <w:ind w:firstLine="708"/>
        <w:rPr>
          <w:rFonts w:cstheme="minorHAnsi"/>
          <w:i/>
          <w:iCs/>
          <w:lang w:val="en-US"/>
        </w:rPr>
      </w:pPr>
    </w:p>
    <w:p w:rsidR="00A4268A" w:rsidRPr="009F4CBD" w:rsidRDefault="00A4268A" w:rsidP="00A4268A">
      <w:pPr>
        <w:ind w:firstLine="708"/>
        <w:rPr>
          <w:rFonts w:cstheme="minorHAnsi"/>
          <w:b/>
          <w:u w:val="single"/>
        </w:rPr>
      </w:pPr>
      <w:r w:rsidRPr="009F4CBD">
        <w:rPr>
          <w:rFonts w:cstheme="minorHAnsi"/>
          <w:b/>
          <w:i/>
          <w:iCs/>
          <w:u w:val="single"/>
        </w:rPr>
        <w:lastRenderedPageBreak/>
        <w:t>B Biochemistry</w:t>
      </w:r>
    </w:p>
    <w:p w:rsidR="00A4268A" w:rsidRPr="009F4CBD" w:rsidRDefault="00A4268A" w:rsidP="00A4268A">
      <w:pPr>
        <w:ind w:firstLine="708"/>
        <w:rPr>
          <w:rFonts w:cstheme="minorHAnsi"/>
        </w:rPr>
      </w:pPr>
      <w:r w:rsidRPr="009F4CBD">
        <w:rPr>
          <w:rFonts w:cstheme="minorHAnsi"/>
        </w:rPr>
        <w:t>The blood tests conducted within a nutrition assessment are interpreted in conjunction with a clinical examination; previous medical history; and current medications. Biochemistry tests measure levels of chemical substances present in the blood. Functional tests measure the function of vital organs such as the kidneys or liver.</w:t>
      </w:r>
    </w:p>
    <w:tbl>
      <w:tblPr>
        <w:tblpPr w:leftFromText="180" w:rightFromText="180" w:vertAnchor="page" w:horzAnchor="margin" w:tblpXSpec="center" w:tblpY="3376"/>
        <w:tblW w:w="8757"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277"/>
        <w:gridCol w:w="3685"/>
        <w:gridCol w:w="2795"/>
      </w:tblGrid>
      <w:tr w:rsidR="00A4268A" w:rsidRPr="009F4CBD" w:rsidTr="00A4268A">
        <w:trPr>
          <w:tblHeader/>
        </w:trPr>
        <w:tc>
          <w:tcPr>
            <w:tcW w:w="2277" w:type="dxa"/>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A4268A" w:rsidRPr="009F4CBD" w:rsidRDefault="00A4268A" w:rsidP="004A618C">
            <w:pPr>
              <w:rPr>
                <w:rFonts w:cstheme="minorHAnsi"/>
                <w:b/>
                <w:bCs/>
              </w:rPr>
            </w:pPr>
            <w:r w:rsidRPr="009F4CBD">
              <w:rPr>
                <w:rFonts w:cstheme="minorHAnsi"/>
                <w:b/>
                <w:bCs/>
              </w:rPr>
              <w:t>Measurement</w:t>
            </w:r>
          </w:p>
        </w:tc>
        <w:tc>
          <w:tcPr>
            <w:tcW w:w="3685" w:type="dxa"/>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A4268A" w:rsidRPr="009F4CBD" w:rsidRDefault="00A4268A" w:rsidP="004A618C">
            <w:pPr>
              <w:ind w:firstLine="133"/>
              <w:rPr>
                <w:rFonts w:cstheme="minorHAnsi"/>
                <w:b/>
                <w:bCs/>
              </w:rPr>
            </w:pPr>
            <w:r w:rsidRPr="009F4CBD">
              <w:rPr>
                <w:rFonts w:cstheme="minorHAnsi"/>
                <w:b/>
                <w:bCs/>
              </w:rPr>
              <w:t>Rationale</w:t>
            </w:r>
          </w:p>
        </w:tc>
        <w:tc>
          <w:tcPr>
            <w:tcW w:w="2795" w:type="dxa"/>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A4268A" w:rsidRPr="009F4CBD" w:rsidRDefault="00A4268A" w:rsidP="004A618C">
            <w:pPr>
              <w:ind w:hanging="8"/>
              <w:rPr>
                <w:rFonts w:cstheme="minorHAnsi"/>
                <w:b/>
                <w:bCs/>
              </w:rPr>
            </w:pPr>
            <w:r w:rsidRPr="009F4CBD">
              <w:rPr>
                <w:rFonts w:cstheme="minorHAnsi"/>
                <w:b/>
                <w:bCs/>
              </w:rPr>
              <w:t>Normal range (note that different laboratories may use different reference ranges)</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Haemoglobin (Hb)</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Assess for iron status or indicate anaemia.</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Women = 12.0 to 15.5 g/dl</w:t>
            </w:r>
            <w:r w:rsidRPr="009F4CBD">
              <w:rPr>
                <w:rFonts w:cstheme="minorHAnsi"/>
              </w:rPr>
              <w:br/>
              <w:t>Men = 13.5 to 17.5 g/dl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Albumin (Alb)</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A low level may indicate inflammation or infection is present, therefore should not be used to determine nutritional status.</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35 - 50 g/L (3.5 - 5.0 g/dL)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C-Reactive Protein (CRP)</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This is an inflammatory marker which is raised when infection or inflammation is present.</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Ideally &lt;10 mg/L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White cell count (WCC)</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Immune system marker; is raised if infection is present.</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4-11 x10</w:t>
            </w:r>
            <w:r w:rsidRPr="009F4CBD">
              <w:rPr>
                <w:rFonts w:cstheme="minorHAnsi"/>
                <w:vertAlign w:val="superscript"/>
              </w:rPr>
              <w:t>9</w:t>
            </w:r>
            <w:r w:rsidRPr="009F4CBD">
              <w:rPr>
                <w:rFonts w:cstheme="minorHAnsi"/>
              </w:rPr>
              <w:t>/L (4000-11,000 per cubic millimetre of blood)</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Glycated Haemoglobin (HbA1c)</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Indicates an average blood sugar level over a period of months.</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Ideally &lt;48 mmol/mol or &lt;6.5% (Diabetes UK)</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Sodium (Na)</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This is an indication of hydration status and kidney function. A raised sodium level may indicate dehydration.</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135-145 mmol/L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Urea (Ur)</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Used to assess kidney function. High urea and other markers levels in combination may indicate dehydration.</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2.5-7.1 mmol/L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lastRenderedPageBreak/>
              <w:t>Calcium and Phosphate</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Used as a baseline when assessing risk of refeeding syndrome Calcium is adjusted for albumin level</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Adjusted Ca 2.0-2.6 mmol/l</w:t>
            </w:r>
            <w:r w:rsidRPr="009F4CBD">
              <w:rPr>
                <w:rFonts w:cstheme="minorHAnsi"/>
              </w:rPr>
              <w:br/>
              <w:t>Phosphate 0.7-1.4 mmol/l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Magnesium</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Likely to be low if there are large GI losses</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r w:rsidRPr="009F4CBD">
              <w:rPr>
                <w:rFonts w:cstheme="minorHAnsi"/>
              </w:rPr>
              <w:t>0.7-1.0 mmol/l</w:t>
            </w:r>
          </w:p>
        </w:tc>
      </w:tr>
      <w:tr w:rsidR="00A4268A" w:rsidRPr="009F4CBD" w:rsidTr="00A4268A">
        <w:tc>
          <w:tcPr>
            <w:tcW w:w="2277"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rPr>
                <w:rFonts w:cstheme="minorHAnsi"/>
              </w:rPr>
            </w:pPr>
            <w:r w:rsidRPr="009F4CBD">
              <w:rPr>
                <w:rFonts w:cstheme="minorHAnsi"/>
              </w:rPr>
              <w:t>Micronutrients</w:t>
            </w:r>
          </w:p>
        </w:tc>
        <w:tc>
          <w:tcPr>
            <w:tcW w:w="368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firstLine="133"/>
              <w:rPr>
                <w:rFonts w:cstheme="minorHAnsi"/>
              </w:rPr>
            </w:pPr>
            <w:r w:rsidRPr="009F4CBD">
              <w:rPr>
                <w:rFonts w:cstheme="minorHAnsi"/>
              </w:rPr>
              <w:t>Include vitamins and trace elements. These are affected by the acute phase response if inflammation or infection is present and so best measured when CRP is low</w:t>
            </w:r>
          </w:p>
        </w:tc>
        <w:tc>
          <w:tcPr>
            <w:tcW w:w="279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A4268A" w:rsidRPr="009F4CBD" w:rsidRDefault="00A4268A" w:rsidP="004A618C">
            <w:pPr>
              <w:ind w:hanging="8"/>
              <w:rPr>
                <w:rFonts w:cstheme="minorHAnsi"/>
              </w:rPr>
            </w:pPr>
          </w:p>
        </w:tc>
      </w:tr>
    </w:tbl>
    <w:p w:rsidR="00A4268A" w:rsidRPr="009F4CBD" w:rsidRDefault="00A4268A" w:rsidP="00A4268A">
      <w:pPr>
        <w:ind w:firstLine="708"/>
        <w:rPr>
          <w:rFonts w:cstheme="minorHAnsi"/>
          <w:b/>
          <w:u w:val="single"/>
        </w:rPr>
      </w:pPr>
      <w:r w:rsidRPr="009F4CBD">
        <w:rPr>
          <w:rFonts w:cstheme="minorHAnsi"/>
          <w:b/>
          <w:i/>
          <w:iCs/>
          <w:u w:val="single"/>
        </w:rPr>
        <w:t>C Clinical</w:t>
      </w:r>
    </w:p>
    <w:p w:rsidR="00A4268A" w:rsidRPr="009F4CBD" w:rsidRDefault="00A4268A" w:rsidP="00A4268A">
      <w:pPr>
        <w:ind w:firstLine="708"/>
        <w:rPr>
          <w:rFonts w:cstheme="minorHAnsi"/>
        </w:rPr>
      </w:pPr>
      <w:r w:rsidRPr="009F4CBD">
        <w:rPr>
          <w:rFonts w:cstheme="minorHAnsi"/>
        </w:rPr>
        <w:t>A person’s disease state may increase the risk of malnutrition due to increased energy requirements; reduced energy intake; or increased nutritional losses. Examples of diseases/conditions where this may occur include:</w:t>
      </w:r>
    </w:p>
    <w:p w:rsidR="00A4268A" w:rsidRPr="009F4CBD" w:rsidRDefault="00A4268A" w:rsidP="00A4268A">
      <w:pPr>
        <w:numPr>
          <w:ilvl w:val="0"/>
          <w:numId w:val="4"/>
        </w:numPr>
        <w:rPr>
          <w:rFonts w:cstheme="minorHAnsi"/>
        </w:rPr>
      </w:pPr>
      <w:r w:rsidRPr="009F4CBD">
        <w:rPr>
          <w:rFonts w:cstheme="minorHAnsi"/>
        </w:rPr>
        <w:t>Cancer</w:t>
      </w:r>
    </w:p>
    <w:p w:rsidR="00A4268A" w:rsidRPr="009F4CBD" w:rsidRDefault="00A4268A" w:rsidP="00A4268A">
      <w:pPr>
        <w:numPr>
          <w:ilvl w:val="0"/>
          <w:numId w:val="4"/>
        </w:numPr>
        <w:rPr>
          <w:rFonts w:cstheme="minorHAnsi"/>
        </w:rPr>
      </w:pPr>
      <w:r w:rsidRPr="009F4CBD">
        <w:rPr>
          <w:rFonts w:cstheme="minorHAnsi"/>
        </w:rPr>
        <w:t>Chronic Obstructive Pulmonary Disease</w:t>
      </w:r>
    </w:p>
    <w:p w:rsidR="00A4268A" w:rsidRPr="009F4CBD" w:rsidRDefault="00A4268A" w:rsidP="00A4268A">
      <w:pPr>
        <w:numPr>
          <w:ilvl w:val="0"/>
          <w:numId w:val="4"/>
        </w:numPr>
        <w:rPr>
          <w:rFonts w:cstheme="minorHAnsi"/>
        </w:rPr>
      </w:pPr>
      <w:r w:rsidRPr="009F4CBD">
        <w:rPr>
          <w:rFonts w:cstheme="minorHAnsi"/>
        </w:rPr>
        <w:t>Heart failure</w:t>
      </w:r>
    </w:p>
    <w:p w:rsidR="00A4268A" w:rsidRPr="009F4CBD" w:rsidRDefault="00A4268A" w:rsidP="00A4268A">
      <w:pPr>
        <w:numPr>
          <w:ilvl w:val="0"/>
          <w:numId w:val="4"/>
        </w:numPr>
        <w:rPr>
          <w:rFonts w:cstheme="minorHAnsi"/>
        </w:rPr>
      </w:pPr>
      <w:r w:rsidRPr="009F4CBD">
        <w:rPr>
          <w:rFonts w:cstheme="minorHAnsi"/>
        </w:rPr>
        <w:t>Gastrointestinal disorders such as Crohns disease, liver disease, coeliac disease</w:t>
      </w:r>
    </w:p>
    <w:p w:rsidR="00A4268A" w:rsidRPr="009F4CBD" w:rsidRDefault="00A4268A" w:rsidP="00A4268A">
      <w:pPr>
        <w:numPr>
          <w:ilvl w:val="0"/>
          <w:numId w:val="4"/>
        </w:numPr>
        <w:rPr>
          <w:rFonts w:cstheme="minorHAnsi"/>
        </w:rPr>
      </w:pPr>
      <w:r w:rsidRPr="009F4CBD">
        <w:rPr>
          <w:rFonts w:cstheme="minorHAnsi"/>
        </w:rPr>
        <w:t>Neurological conditions such as stroke, Motor Neurone Disease, Parkinsons Disease, multiple sclerosis, dementia</w:t>
      </w:r>
    </w:p>
    <w:p w:rsidR="00A4268A" w:rsidRPr="009F4CBD" w:rsidRDefault="00A4268A" w:rsidP="00A4268A">
      <w:pPr>
        <w:numPr>
          <w:ilvl w:val="0"/>
          <w:numId w:val="4"/>
        </w:numPr>
        <w:rPr>
          <w:rFonts w:cstheme="minorHAnsi"/>
        </w:rPr>
      </w:pPr>
      <w:r w:rsidRPr="009F4CBD">
        <w:rPr>
          <w:rFonts w:cstheme="minorHAnsi"/>
        </w:rPr>
        <w:t>Burns, surgery or trauma</w:t>
      </w:r>
    </w:p>
    <w:p w:rsidR="00A4268A" w:rsidRPr="009F4CBD" w:rsidRDefault="00A4268A" w:rsidP="00A4268A">
      <w:pPr>
        <w:numPr>
          <w:ilvl w:val="0"/>
          <w:numId w:val="4"/>
        </w:numPr>
        <w:rPr>
          <w:rFonts w:cstheme="minorHAnsi"/>
        </w:rPr>
      </w:pPr>
      <w:r w:rsidRPr="009F4CBD">
        <w:rPr>
          <w:rFonts w:cstheme="minorHAnsi"/>
        </w:rPr>
        <w:t>Mental health conditions (such as depression)</w:t>
      </w:r>
    </w:p>
    <w:p w:rsidR="00A4268A" w:rsidRPr="009F4CBD" w:rsidRDefault="00A4268A" w:rsidP="00A4268A">
      <w:pPr>
        <w:ind w:firstLine="708"/>
        <w:rPr>
          <w:rFonts w:cstheme="minorHAnsi"/>
        </w:rPr>
      </w:pPr>
      <w:r w:rsidRPr="009F4CBD">
        <w:rPr>
          <w:rFonts w:cstheme="minorHAnsi"/>
        </w:rPr>
        <w:t>Symptoms that may impact on a person’s nutritional status either through reducing nutritional intake or increasing nutritional losses include:</w:t>
      </w:r>
    </w:p>
    <w:p w:rsidR="00A4268A" w:rsidRPr="009F4CBD" w:rsidRDefault="00A4268A" w:rsidP="00A4268A">
      <w:pPr>
        <w:numPr>
          <w:ilvl w:val="0"/>
          <w:numId w:val="5"/>
        </w:numPr>
        <w:rPr>
          <w:rFonts w:cstheme="minorHAnsi"/>
        </w:rPr>
      </w:pPr>
      <w:r w:rsidRPr="009F4CBD">
        <w:rPr>
          <w:rFonts w:cstheme="minorHAnsi"/>
        </w:rPr>
        <w:t>altered bowel movements e.g. diarrhoea, constipation</w:t>
      </w:r>
    </w:p>
    <w:p w:rsidR="00A4268A" w:rsidRPr="009F4CBD" w:rsidRDefault="00A4268A" w:rsidP="00A4268A">
      <w:pPr>
        <w:numPr>
          <w:ilvl w:val="0"/>
          <w:numId w:val="5"/>
        </w:numPr>
        <w:rPr>
          <w:rFonts w:cstheme="minorHAnsi"/>
        </w:rPr>
      </w:pPr>
      <w:r w:rsidRPr="009F4CBD">
        <w:rPr>
          <w:rFonts w:cstheme="minorHAnsi"/>
        </w:rPr>
        <w:t>upper gastrointestinal upset e.g. reflux, bloating, nausea, and vomiting.</w:t>
      </w:r>
    </w:p>
    <w:p w:rsidR="00A4268A" w:rsidRPr="009F4CBD" w:rsidRDefault="00A4268A" w:rsidP="00A4268A">
      <w:pPr>
        <w:numPr>
          <w:ilvl w:val="0"/>
          <w:numId w:val="5"/>
        </w:numPr>
        <w:rPr>
          <w:rFonts w:cstheme="minorHAnsi"/>
        </w:rPr>
      </w:pPr>
      <w:r w:rsidRPr="009F4CBD">
        <w:rPr>
          <w:rFonts w:cstheme="minorHAnsi"/>
        </w:rPr>
        <w:t>early satiety</w:t>
      </w:r>
    </w:p>
    <w:p w:rsidR="00A4268A" w:rsidRPr="009F4CBD" w:rsidRDefault="00A4268A" w:rsidP="00A4268A">
      <w:pPr>
        <w:numPr>
          <w:ilvl w:val="0"/>
          <w:numId w:val="5"/>
        </w:numPr>
        <w:rPr>
          <w:rFonts w:cstheme="minorHAnsi"/>
        </w:rPr>
      </w:pPr>
      <w:r w:rsidRPr="009F4CBD">
        <w:rPr>
          <w:rFonts w:cstheme="minorHAnsi"/>
        </w:rPr>
        <w:t>dysphagia</w:t>
      </w:r>
    </w:p>
    <w:p w:rsidR="00A4268A" w:rsidRPr="009F4CBD" w:rsidRDefault="00A4268A" w:rsidP="00A4268A">
      <w:pPr>
        <w:numPr>
          <w:ilvl w:val="0"/>
          <w:numId w:val="5"/>
        </w:numPr>
        <w:rPr>
          <w:rFonts w:cstheme="minorHAnsi"/>
        </w:rPr>
      </w:pPr>
      <w:r w:rsidRPr="009F4CBD">
        <w:rPr>
          <w:rFonts w:cstheme="minorHAnsi"/>
        </w:rPr>
        <w:t>lethargy</w:t>
      </w:r>
    </w:p>
    <w:p w:rsidR="00A4268A" w:rsidRPr="009F4CBD" w:rsidRDefault="00A4268A" w:rsidP="00A4268A">
      <w:pPr>
        <w:ind w:firstLine="708"/>
        <w:rPr>
          <w:rFonts w:cstheme="minorHAnsi"/>
        </w:rPr>
      </w:pPr>
      <w:r w:rsidRPr="009F4CBD">
        <w:rPr>
          <w:rFonts w:cstheme="minorHAnsi"/>
          <w:i/>
          <w:iCs/>
        </w:rPr>
        <w:t>D Dietary</w:t>
      </w:r>
    </w:p>
    <w:p w:rsidR="00A4268A" w:rsidRPr="009F4CBD" w:rsidRDefault="00A4268A" w:rsidP="00A4268A">
      <w:pPr>
        <w:ind w:firstLine="708"/>
        <w:rPr>
          <w:rFonts w:cstheme="minorHAnsi"/>
        </w:rPr>
      </w:pPr>
      <w:r w:rsidRPr="009F4CBD">
        <w:rPr>
          <w:rFonts w:cstheme="minorHAnsi"/>
          <w:u w:val="single"/>
        </w:rPr>
        <w:t>Energy requirements</w:t>
      </w:r>
    </w:p>
    <w:p w:rsidR="00A4268A" w:rsidRPr="009F4CBD" w:rsidRDefault="00A4268A" w:rsidP="00A4268A">
      <w:pPr>
        <w:numPr>
          <w:ilvl w:val="0"/>
          <w:numId w:val="6"/>
        </w:numPr>
        <w:rPr>
          <w:rFonts w:cstheme="minorHAnsi"/>
        </w:rPr>
      </w:pPr>
      <w:r w:rsidRPr="009F4CBD">
        <w:rPr>
          <w:rFonts w:cstheme="minorHAnsi"/>
        </w:rPr>
        <w:lastRenderedPageBreak/>
        <w:t>Estimate Basal Metabolic Rate (BMR) using Henry Equations (2005) based on age, gender and weight (Henry, 2005) or estimate requirements for stable patients using 25-35kcal/kg (NICE 2006).</w:t>
      </w:r>
    </w:p>
    <w:p w:rsidR="00A4268A" w:rsidRPr="009F4CBD" w:rsidRDefault="00A4268A" w:rsidP="00A4268A">
      <w:pPr>
        <w:numPr>
          <w:ilvl w:val="0"/>
          <w:numId w:val="6"/>
        </w:numPr>
        <w:rPr>
          <w:rFonts w:cstheme="minorHAnsi"/>
        </w:rPr>
      </w:pPr>
      <w:r w:rsidRPr="009F4CBD">
        <w:rPr>
          <w:rFonts w:cstheme="minorHAnsi"/>
        </w:rPr>
        <w:t>Add factor when patient is metabolically stressed</w:t>
      </w:r>
    </w:p>
    <w:p w:rsidR="00A4268A" w:rsidRPr="009F4CBD" w:rsidRDefault="00A4268A" w:rsidP="00A4268A">
      <w:pPr>
        <w:numPr>
          <w:ilvl w:val="0"/>
          <w:numId w:val="6"/>
        </w:numPr>
        <w:rPr>
          <w:rFonts w:cstheme="minorHAnsi"/>
        </w:rPr>
      </w:pPr>
      <w:r w:rsidRPr="009F4CBD">
        <w:rPr>
          <w:rFonts w:cstheme="minorHAnsi"/>
        </w:rPr>
        <w:t>Add factor for activity and diet induced thermogenesis</w:t>
      </w:r>
    </w:p>
    <w:p w:rsidR="00A4268A" w:rsidRPr="009F4CBD" w:rsidRDefault="00A4268A" w:rsidP="00A4268A">
      <w:pPr>
        <w:numPr>
          <w:ilvl w:val="0"/>
          <w:numId w:val="6"/>
        </w:numPr>
        <w:rPr>
          <w:rFonts w:cstheme="minorHAnsi"/>
        </w:rPr>
      </w:pPr>
      <w:r w:rsidRPr="009F4CBD">
        <w:rPr>
          <w:rFonts w:cstheme="minorHAnsi"/>
        </w:rPr>
        <w:t>If aiming for weight gain, add 400-600 kcal/day. Only add this for patients who are metabolically stable (i.e. not acutely unwell).</w:t>
      </w:r>
    </w:p>
    <w:p w:rsidR="00A4268A" w:rsidRPr="009F4CBD" w:rsidRDefault="00A4268A" w:rsidP="00A4268A">
      <w:pPr>
        <w:numPr>
          <w:ilvl w:val="0"/>
          <w:numId w:val="6"/>
        </w:numPr>
        <w:rPr>
          <w:rFonts w:cstheme="minorHAnsi"/>
        </w:rPr>
      </w:pPr>
      <w:r w:rsidRPr="009F4CBD">
        <w:rPr>
          <w:rFonts w:cstheme="minorHAnsi"/>
        </w:rPr>
        <w:t>There are a number of alternative methods to calculate energy requirements in patients who are obese, with care required not to over-estimate requirements.</w:t>
      </w:r>
    </w:p>
    <w:p w:rsidR="00A4268A" w:rsidRPr="009F4CBD" w:rsidRDefault="00A4268A" w:rsidP="00A4268A">
      <w:pPr>
        <w:ind w:firstLine="708"/>
        <w:rPr>
          <w:rFonts w:cstheme="minorHAnsi"/>
        </w:rPr>
      </w:pPr>
      <w:r w:rsidRPr="009F4CBD">
        <w:rPr>
          <w:rFonts w:cstheme="minorHAnsi"/>
          <w:i/>
          <w:iCs/>
        </w:rPr>
        <w:t>(Weekes and Soulsby, 2011)</w:t>
      </w:r>
    </w:p>
    <w:p w:rsidR="00A4268A" w:rsidRPr="009F4CBD" w:rsidRDefault="00A4268A" w:rsidP="00A4268A">
      <w:pPr>
        <w:ind w:firstLine="708"/>
        <w:rPr>
          <w:rFonts w:cstheme="minorHAnsi"/>
        </w:rPr>
      </w:pPr>
      <w:r w:rsidRPr="009F4CBD">
        <w:rPr>
          <w:rFonts w:cstheme="minorHAnsi"/>
          <w:u w:val="single"/>
        </w:rPr>
        <w:t>Fluid requirements:</w:t>
      </w:r>
    </w:p>
    <w:p w:rsidR="00A4268A" w:rsidRPr="009F4CBD" w:rsidRDefault="00A4268A" w:rsidP="00A4268A">
      <w:pPr>
        <w:ind w:firstLine="708"/>
        <w:rPr>
          <w:rFonts w:cstheme="minorHAnsi"/>
        </w:rPr>
      </w:pPr>
      <w:r w:rsidRPr="009F4CBD">
        <w:rPr>
          <w:rFonts w:cstheme="minorHAnsi"/>
        </w:rPr>
        <w:t>Aged &gt;60 years = 30ml/kg body weight</w:t>
      </w:r>
    </w:p>
    <w:p w:rsidR="00A4268A" w:rsidRPr="009F4CBD" w:rsidRDefault="00A4268A" w:rsidP="00A4268A">
      <w:pPr>
        <w:ind w:firstLine="708"/>
        <w:rPr>
          <w:rFonts w:cstheme="minorHAnsi"/>
        </w:rPr>
      </w:pPr>
      <w:r w:rsidRPr="009F4CBD">
        <w:rPr>
          <w:rFonts w:cstheme="minorHAnsi"/>
        </w:rPr>
        <w:t>Aged &lt;60 years = 35ml/kg body weight (Todorovic and Micklewright, 2011)</w:t>
      </w:r>
    </w:p>
    <w:p w:rsidR="00A4268A" w:rsidRPr="009F4CBD" w:rsidRDefault="00A4268A" w:rsidP="00A4268A">
      <w:pPr>
        <w:ind w:firstLine="708"/>
        <w:rPr>
          <w:rFonts w:cstheme="minorHAnsi"/>
        </w:rPr>
      </w:pPr>
      <w:r w:rsidRPr="009F4CBD">
        <w:rPr>
          <w:rFonts w:cstheme="minorHAnsi"/>
          <w:u w:val="single"/>
        </w:rPr>
        <w:t>Dietary assessment:</w:t>
      </w:r>
    </w:p>
    <w:p w:rsidR="00A4268A" w:rsidRPr="009F4CBD" w:rsidRDefault="00A4268A" w:rsidP="00A4268A">
      <w:pPr>
        <w:ind w:firstLine="708"/>
        <w:rPr>
          <w:rFonts w:cstheme="minorHAnsi"/>
        </w:rPr>
      </w:pPr>
      <w:r w:rsidRPr="009F4CBD">
        <w:rPr>
          <w:rFonts w:cstheme="minorHAnsi"/>
        </w:rPr>
        <w:t>An estimation of the total daily calorie intake, as well as overall quality of diet should be assessed. Asking the patient (or their family/carer if patient unable) about their daily dietary intake will help understand patterns of eating, portion sizes, cooking methods and types of food and drink taken. Consider asking the following questions to help form a better understanding of the patients’ overall diet:</w:t>
      </w:r>
    </w:p>
    <w:p w:rsidR="00A4268A" w:rsidRPr="009F4CBD" w:rsidRDefault="00A4268A" w:rsidP="00A4268A">
      <w:pPr>
        <w:numPr>
          <w:ilvl w:val="0"/>
          <w:numId w:val="7"/>
        </w:numPr>
        <w:rPr>
          <w:rFonts w:cstheme="minorHAnsi"/>
        </w:rPr>
      </w:pPr>
      <w:r w:rsidRPr="009F4CBD">
        <w:rPr>
          <w:rFonts w:cstheme="minorHAnsi"/>
        </w:rPr>
        <w:t>What is the patients’ typical food and fluid intake? This can be recorded using food record charts; 24-hour recall; 3-day food diary; or typical day diet history.</w:t>
      </w:r>
    </w:p>
    <w:p w:rsidR="00A4268A" w:rsidRPr="009F4CBD" w:rsidRDefault="00A4268A" w:rsidP="00A4268A">
      <w:pPr>
        <w:numPr>
          <w:ilvl w:val="0"/>
          <w:numId w:val="7"/>
        </w:numPr>
        <w:rPr>
          <w:rFonts w:cstheme="minorHAnsi"/>
        </w:rPr>
      </w:pPr>
      <w:r w:rsidRPr="009F4CBD">
        <w:rPr>
          <w:rFonts w:cstheme="minorHAnsi"/>
        </w:rPr>
        <w:t>Is the patient eating 3 meals a day?</w:t>
      </w:r>
    </w:p>
    <w:p w:rsidR="00A4268A" w:rsidRPr="009F4CBD" w:rsidRDefault="00A4268A" w:rsidP="00A4268A">
      <w:pPr>
        <w:numPr>
          <w:ilvl w:val="0"/>
          <w:numId w:val="7"/>
        </w:numPr>
        <w:rPr>
          <w:rFonts w:cstheme="minorHAnsi"/>
        </w:rPr>
      </w:pPr>
      <w:r w:rsidRPr="009F4CBD">
        <w:rPr>
          <w:rFonts w:cstheme="minorHAnsi"/>
        </w:rPr>
        <w:t>Do they have pudding after at least one meal per day?</w:t>
      </w:r>
    </w:p>
    <w:p w:rsidR="00A4268A" w:rsidRPr="009F4CBD" w:rsidRDefault="00A4268A" w:rsidP="00A4268A">
      <w:pPr>
        <w:numPr>
          <w:ilvl w:val="0"/>
          <w:numId w:val="7"/>
        </w:numPr>
        <w:rPr>
          <w:rFonts w:cstheme="minorHAnsi"/>
        </w:rPr>
      </w:pPr>
      <w:r w:rsidRPr="009F4CBD">
        <w:rPr>
          <w:rFonts w:cstheme="minorHAnsi"/>
        </w:rPr>
        <w:t>Are they eating snacks in between meals?</w:t>
      </w:r>
    </w:p>
    <w:p w:rsidR="00A4268A" w:rsidRPr="009F4CBD" w:rsidRDefault="00A4268A" w:rsidP="00A4268A">
      <w:pPr>
        <w:numPr>
          <w:ilvl w:val="0"/>
          <w:numId w:val="7"/>
        </w:numPr>
        <w:rPr>
          <w:rFonts w:cstheme="minorHAnsi"/>
        </w:rPr>
      </w:pPr>
      <w:r w:rsidRPr="009F4CBD">
        <w:rPr>
          <w:rFonts w:cstheme="minorHAnsi"/>
        </w:rPr>
        <w:t>Are they eating smaller meals than they used to when they were feeling well?</w:t>
      </w:r>
    </w:p>
    <w:p w:rsidR="00A4268A" w:rsidRPr="009F4CBD" w:rsidRDefault="00A4268A" w:rsidP="00A4268A">
      <w:pPr>
        <w:numPr>
          <w:ilvl w:val="0"/>
          <w:numId w:val="7"/>
        </w:numPr>
        <w:rPr>
          <w:rFonts w:cstheme="minorHAnsi"/>
        </w:rPr>
      </w:pPr>
      <w:r w:rsidRPr="009F4CBD">
        <w:rPr>
          <w:rFonts w:cstheme="minorHAnsi"/>
        </w:rPr>
        <w:t>Are they having regular drinks, at least 6-8 glasses of fluid/ day?</w:t>
      </w:r>
    </w:p>
    <w:p w:rsidR="00A4268A" w:rsidRPr="009F4CBD" w:rsidRDefault="00A4268A" w:rsidP="00A4268A">
      <w:pPr>
        <w:numPr>
          <w:ilvl w:val="0"/>
          <w:numId w:val="7"/>
        </w:numPr>
        <w:rPr>
          <w:rFonts w:cstheme="minorHAnsi"/>
        </w:rPr>
      </w:pPr>
      <w:r w:rsidRPr="009F4CBD">
        <w:rPr>
          <w:rFonts w:cstheme="minorHAnsi"/>
        </w:rPr>
        <w:t>Are they having nutritious drinks such as milky tea/coffee, fruit juice, milky drinks?</w:t>
      </w:r>
    </w:p>
    <w:p w:rsidR="00A4268A" w:rsidRPr="009F4CBD" w:rsidRDefault="00A4268A" w:rsidP="00A4268A">
      <w:pPr>
        <w:numPr>
          <w:ilvl w:val="0"/>
          <w:numId w:val="7"/>
        </w:numPr>
        <w:rPr>
          <w:rFonts w:cstheme="minorHAnsi"/>
        </w:rPr>
      </w:pPr>
      <w:r w:rsidRPr="009F4CBD">
        <w:rPr>
          <w:rFonts w:cstheme="minorHAnsi"/>
        </w:rPr>
        <w:t>Are they having carbohydrate foods (bread, potatoes, pasta, rice, breakfast cereals etc) and protein foods (meat, cheese, beans, egg, fish, milk, yoghurt, cream) at each meal time? Portion sizes should be at least the size of the patient’s fist and amount to 1/3 each on the plate (carbohydrate, protein, vegetables).</w:t>
      </w:r>
    </w:p>
    <w:p w:rsidR="00A4268A" w:rsidRPr="009F4CBD" w:rsidRDefault="00A4268A" w:rsidP="00A4268A">
      <w:pPr>
        <w:numPr>
          <w:ilvl w:val="0"/>
          <w:numId w:val="7"/>
        </w:numPr>
        <w:rPr>
          <w:rFonts w:cstheme="minorHAnsi"/>
        </w:rPr>
      </w:pPr>
      <w:r w:rsidRPr="009F4CBD">
        <w:rPr>
          <w:rFonts w:cstheme="minorHAnsi"/>
        </w:rPr>
        <w:t>Are they eating at least one portion of fruit or vegetable each day?</w:t>
      </w:r>
    </w:p>
    <w:p w:rsidR="00A4268A" w:rsidRPr="009F4CBD" w:rsidRDefault="00A4268A" w:rsidP="00A4268A">
      <w:pPr>
        <w:numPr>
          <w:ilvl w:val="0"/>
          <w:numId w:val="7"/>
        </w:numPr>
        <w:rPr>
          <w:rFonts w:cstheme="minorHAnsi"/>
        </w:rPr>
      </w:pPr>
      <w:r w:rsidRPr="009F4CBD">
        <w:rPr>
          <w:rFonts w:cstheme="minorHAnsi"/>
        </w:rPr>
        <w:t>If food is being blended, are they adding nutritious liquids such as milk, cream or gravy to aid blending, rather than water?</w:t>
      </w:r>
    </w:p>
    <w:p w:rsidR="00A4268A" w:rsidRPr="009F4CBD" w:rsidRDefault="00A4268A" w:rsidP="00A4268A">
      <w:pPr>
        <w:numPr>
          <w:ilvl w:val="0"/>
          <w:numId w:val="7"/>
        </w:numPr>
        <w:rPr>
          <w:rFonts w:cstheme="minorHAnsi"/>
        </w:rPr>
      </w:pPr>
      <w:r w:rsidRPr="009F4CBD">
        <w:rPr>
          <w:rFonts w:cstheme="minorHAnsi"/>
        </w:rPr>
        <w:lastRenderedPageBreak/>
        <w:t>Are they able to cook for themselves?</w:t>
      </w:r>
    </w:p>
    <w:p w:rsidR="00A4268A" w:rsidRPr="009F4CBD" w:rsidRDefault="00A4268A" w:rsidP="00A4268A">
      <w:pPr>
        <w:numPr>
          <w:ilvl w:val="0"/>
          <w:numId w:val="7"/>
        </w:numPr>
        <w:rPr>
          <w:rFonts w:cstheme="minorHAnsi"/>
        </w:rPr>
      </w:pPr>
      <w:r w:rsidRPr="009F4CBD">
        <w:rPr>
          <w:rFonts w:cstheme="minorHAnsi"/>
        </w:rPr>
        <w:t>Do they have access to essentials such as bread, milk and cheese on a daily basis?</w:t>
      </w:r>
    </w:p>
    <w:p w:rsidR="00A4268A" w:rsidRPr="009F4CBD" w:rsidRDefault="00A4268A" w:rsidP="00A4268A">
      <w:pPr>
        <w:numPr>
          <w:ilvl w:val="0"/>
          <w:numId w:val="7"/>
        </w:numPr>
        <w:rPr>
          <w:rFonts w:cstheme="minorHAnsi"/>
        </w:rPr>
      </w:pPr>
      <w:r w:rsidRPr="009F4CBD">
        <w:rPr>
          <w:rFonts w:cstheme="minorHAnsi"/>
        </w:rPr>
        <w:t>Do they have a hot/cooked meal each day?</w:t>
      </w:r>
    </w:p>
    <w:p w:rsidR="00A4268A" w:rsidRPr="009F4CBD" w:rsidRDefault="00A4268A" w:rsidP="00A4268A">
      <w:pPr>
        <w:numPr>
          <w:ilvl w:val="0"/>
          <w:numId w:val="7"/>
        </w:numPr>
        <w:rPr>
          <w:rFonts w:cstheme="minorHAnsi"/>
        </w:rPr>
      </w:pPr>
      <w:r w:rsidRPr="009F4CBD">
        <w:rPr>
          <w:rFonts w:cstheme="minorHAnsi"/>
        </w:rPr>
        <w:t>Are they taking any nutritional supplements? Do they take them as recommended? Do they like them?</w:t>
      </w:r>
    </w:p>
    <w:tbl>
      <w:tblPr>
        <w:tblpPr w:leftFromText="180" w:rightFromText="180" w:vertAnchor="text" w:horzAnchor="margin" w:tblpXSpec="center" w:tblpY="393"/>
        <w:tblW w:w="1026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5253"/>
        <w:gridCol w:w="5015"/>
      </w:tblGrid>
      <w:tr w:rsidR="004A618C" w:rsidRPr="009F4CBD" w:rsidTr="004A618C">
        <w:trPr>
          <w:tblHeader/>
        </w:trPr>
        <w:tc>
          <w:tcPr>
            <w:tcW w:w="5253" w:type="dxa"/>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4A618C" w:rsidRPr="009F4CBD" w:rsidRDefault="004A618C" w:rsidP="004A618C">
            <w:pPr>
              <w:ind w:firstLine="708"/>
              <w:rPr>
                <w:rFonts w:cstheme="minorHAnsi"/>
                <w:b/>
                <w:bCs/>
              </w:rPr>
            </w:pPr>
            <w:r w:rsidRPr="009F4CBD">
              <w:rPr>
                <w:rFonts w:cstheme="minorHAnsi"/>
                <w:b/>
                <w:bCs/>
              </w:rPr>
              <w:t>Social</w:t>
            </w:r>
          </w:p>
        </w:tc>
        <w:tc>
          <w:tcPr>
            <w:tcW w:w="5015" w:type="dxa"/>
            <w:tcBorders>
              <w:top w:val="nil"/>
              <w:left w:val="single" w:sz="6" w:space="0" w:color="004AA2"/>
              <w:bottom w:val="nil"/>
              <w:right w:val="single" w:sz="6" w:space="0" w:color="004AA2"/>
            </w:tcBorders>
            <w:shd w:val="clear" w:color="auto" w:fill="004AA2"/>
            <w:tcMar>
              <w:top w:w="150" w:type="dxa"/>
              <w:left w:w="150" w:type="dxa"/>
              <w:bottom w:w="150" w:type="dxa"/>
              <w:right w:w="150" w:type="dxa"/>
            </w:tcMar>
            <w:vAlign w:val="bottom"/>
            <w:hideMark/>
          </w:tcPr>
          <w:p w:rsidR="004A618C" w:rsidRPr="009F4CBD" w:rsidRDefault="004A618C" w:rsidP="004A618C">
            <w:pPr>
              <w:ind w:firstLine="708"/>
              <w:rPr>
                <w:rFonts w:cstheme="minorHAnsi"/>
                <w:b/>
                <w:bCs/>
              </w:rPr>
            </w:pPr>
            <w:r w:rsidRPr="009F4CBD">
              <w:rPr>
                <w:rFonts w:cstheme="minorHAnsi"/>
                <w:b/>
                <w:bCs/>
              </w:rPr>
              <w:t>Physical</w:t>
            </w:r>
          </w:p>
        </w:tc>
      </w:tr>
      <w:tr w:rsidR="004A618C" w:rsidRPr="009F4CBD" w:rsidTr="004A618C">
        <w:tc>
          <w:tcPr>
            <w:tcW w:w="5253"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4A618C" w:rsidRPr="009F4CBD" w:rsidRDefault="004A618C" w:rsidP="004A618C">
            <w:pPr>
              <w:ind w:firstLine="708"/>
              <w:rPr>
                <w:rFonts w:cstheme="minorHAnsi"/>
              </w:rPr>
            </w:pPr>
            <w:r w:rsidRPr="009F4CBD">
              <w:rPr>
                <w:rFonts w:cstheme="minorHAnsi"/>
              </w:rPr>
              <w:t>Ability to shop, cook, assistance with eating and drinking, mobility, budget restraints, limited storage facilities, meal timings, family support.</w:t>
            </w:r>
          </w:p>
        </w:tc>
        <w:tc>
          <w:tcPr>
            <w:tcW w:w="5015" w:type="dxa"/>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hideMark/>
          </w:tcPr>
          <w:p w:rsidR="004A618C" w:rsidRPr="009F4CBD" w:rsidRDefault="004A618C" w:rsidP="004A618C">
            <w:pPr>
              <w:ind w:firstLine="708"/>
              <w:rPr>
                <w:rFonts w:cstheme="minorHAnsi"/>
              </w:rPr>
            </w:pPr>
            <w:r w:rsidRPr="009F4CBD">
              <w:rPr>
                <w:rFonts w:cstheme="minorHAnsi"/>
              </w:rPr>
              <w:t>Appetite, dentures, dexterity, use of cutlery, sight, taste changes, nausea, vomiting, heart burn, bloating, early satiety, diarrhoea, constipation, pain, breathing difficulties, dysphagia (swallowing problems), food intolerances, special diets, diminished thirst, taste preferences.</w:t>
            </w:r>
          </w:p>
        </w:tc>
      </w:tr>
    </w:tbl>
    <w:p w:rsidR="00A4268A" w:rsidRPr="009F4CBD" w:rsidRDefault="00A4268A" w:rsidP="00011A8A">
      <w:pPr>
        <w:ind w:firstLine="708"/>
        <w:rPr>
          <w:rFonts w:cstheme="minorHAnsi"/>
          <w:lang w:val="en-US"/>
        </w:rPr>
      </w:pPr>
    </w:p>
    <w:p w:rsidR="004A618C" w:rsidRPr="009F4CBD" w:rsidRDefault="007C5BC5" w:rsidP="00011A8A">
      <w:pPr>
        <w:ind w:firstLine="708"/>
        <w:rPr>
          <w:rFonts w:cstheme="minorHAnsi"/>
          <w:lang w:val="en-US"/>
        </w:rPr>
      </w:pPr>
      <w:r>
        <w:rPr>
          <w:rFonts w:cstheme="minorHAnsi"/>
          <w:lang w:val="en-US"/>
        </w:rPr>
        <w:t>References</w:t>
      </w:r>
      <w:bookmarkStart w:id="0" w:name="_GoBack"/>
      <w:bookmarkEnd w:id="0"/>
    </w:p>
    <w:p w:rsidR="004A618C" w:rsidRPr="009F4CBD" w:rsidRDefault="004A618C" w:rsidP="009F4CBD">
      <w:pPr>
        <w:pStyle w:val="a4"/>
        <w:numPr>
          <w:ilvl w:val="0"/>
          <w:numId w:val="15"/>
        </w:numPr>
        <w:rPr>
          <w:rFonts w:cstheme="minorHAnsi"/>
        </w:rPr>
      </w:pPr>
      <w:r w:rsidRPr="009F4CBD">
        <w:rPr>
          <w:rFonts w:cstheme="minorHAnsi"/>
        </w:rPr>
        <w:t>Scientific Advisory Committee on Nutrition (SACN) (2011) Dietary Reference Values for Energy. London: TSO</w:t>
      </w:r>
    </w:p>
    <w:p w:rsidR="004A618C" w:rsidRPr="009F4CBD" w:rsidRDefault="004A618C" w:rsidP="009F4CBD">
      <w:pPr>
        <w:pStyle w:val="a4"/>
        <w:numPr>
          <w:ilvl w:val="0"/>
          <w:numId w:val="15"/>
        </w:numPr>
        <w:rPr>
          <w:rFonts w:cstheme="minorHAnsi"/>
        </w:rPr>
      </w:pPr>
      <w:r w:rsidRPr="009F4CBD">
        <w:rPr>
          <w:rFonts w:cstheme="minorHAnsi"/>
        </w:rPr>
        <w:t>Todorovic, V.E., and Micklewright, A. (2011) A pocket guide to clinical nutrition fourth edition. Parenteral and Enteral Group of the British Dietetic Association.</w:t>
      </w:r>
    </w:p>
    <w:p w:rsidR="004A618C" w:rsidRPr="009F4CBD" w:rsidRDefault="004A618C" w:rsidP="009F4CBD">
      <w:pPr>
        <w:pStyle w:val="a4"/>
        <w:numPr>
          <w:ilvl w:val="0"/>
          <w:numId w:val="15"/>
        </w:numPr>
        <w:rPr>
          <w:rFonts w:cstheme="minorHAnsi"/>
        </w:rPr>
      </w:pPr>
      <w:r w:rsidRPr="009F4CBD">
        <w:rPr>
          <w:rFonts w:cstheme="minorHAnsi"/>
        </w:rPr>
        <w:t>Weekes, L and Soulsby C (2011), in Todorovic, V.E., and Micklewright, A. (2011) A pocket guide to clinical nutrition fourth edition. Parenteral and Enteral Group of the British Dietetic Association.</w:t>
      </w:r>
    </w:p>
    <w:p w:rsidR="004A618C" w:rsidRPr="009F4CBD" w:rsidRDefault="004A618C" w:rsidP="009F4CBD">
      <w:pPr>
        <w:pStyle w:val="a4"/>
        <w:numPr>
          <w:ilvl w:val="0"/>
          <w:numId w:val="15"/>
        </w:numPr>
        <w:rPr>
          <w:rFonts w:cstheme="minorHAnsi"/>
        </w:rPr>
      </w:pPr>
      <w:r w:rsidRPr="009F4CBD">
        <w:rPr>
          <w:rFonts w:cstheme="minorHAnsi"/>
        </w:rPr>
        <w:t>World Health Organisation (WHO) 2016 </w:t>
      </w:r>
      <w:hyperlink r:id="rId12" w:tgtFrame="_blank" w:history="1">
        <w:r w:rsidRPr="009F4CBD">
          <w:rPr>
            <w:rStyle w:val="a3"/>
            <w:rFonts w:cstheme="minorHAnsi"/>
          </w:rPr>
          <w:t>http://apps.who.int/bmi/index.jsp?introPage=intro_3.html</w:t>
        </w:r>
      </w:hyperlink>
    </w:p>
    <w:p w:rsidR="004A618C" w:rsidRPr="00A4268A" w:rsidRDefault="004A618C" w:rsidP="00011A8A">
      <w:pPr>
        <w:ind w:firstLine="708"/>
        <w:rPr>
          <w:lang w:val="en-US"/>
        </w:rPr>
      </w:pPr>
    </w:p>
    <w:sectPr w:rsidR="004A618C" w:rsidRPr="00A4268A" w:rsidSect="00011A8A">
      <w:type w:val="continuous"/>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540"/>
    <w:multiLevelType w:val="multilevel"/>
    <w:tmpl w:val="4DE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D3949"/>
    <w:multiLevelType w:val="hybridMultilevel"/>
    <w:tmpl w:val="CCDCD3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C674C03"/>
    <w:multiLevelType w:val="multilevel"/>
    <w:tmpl w:val="B8E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F7CFA"/>
    <w:multiLevelType w:val="multilevel"/>
    <w:tmpl w:val="BE9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560A5"/>
    <w:multiLevelType w:val="multilevel"/>
    <w:tmpl w:val="B0C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D65DA"/>
    <w:multiLevelType w:val="multilevel"/>
    <w:tmpl w:val="5A585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C28C3"/>
    <w:multiLevelType w:val="multilevel"/>
    <w:tmpl w:val="E9C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93632"/>
    <w:multiLevelType w:val="multilevel"/>
    <w:tmpl w:val="943E8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5506E"/>
    <w:multiLevelType w:val="multilevel"/>
    <w:tmpl w:val="8C6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AA0AB8"/>
    <w:multiLevelType w:val="multilevel"/>
    <w:tmpl w:val="B60C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B6EB3"/>
    <w:multiLevelType w:val="multilevel"/>
    <w:tmpl w:val="5348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151FC2"/>
    <w:multiLevelType w:val="multilevel"/>
    <w:tmpl w:val="3E5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6560B0"/>
    <w:multiLevelType w:val="multilevel"/>
    <w:tmpl w:val="29BE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613E63"/>
    <w:multiLevelType w:val="hybridMultilevel"/>
    <w:tmpl w:val="542A2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4A0FC8"/>
    <w:multiLevelType w:val="multilevel"/>
    <w:tmpl w:val="4C1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4"/>
  </w:num>
  <w:num w:numId="5">
    <w:abstractNumId w:val="10"/>
  </w:num>
  <w:num w:numId="6">
    <w:abstractNumId w:val="5"/>
  </w:num>
  <w:num w:numId="7">
    <w:abstractNumId w:val="12"/>
  </w:num>
  <w:num w:numId="8">
    <w:abstractNumId w:val="2"/>
  </w:num>
  <w:num w:numId="9">
    <w:abstractNumId w:val="8"/>
  </w:num>
  <w:num w:numId="10">
    <w:abstractNumId w:val="9"/>
  </w:num>
  <w:num w:numId="11">
    <w:abstractNumId w:val="6"/>
  </w:num>
  <w:num w:numId="12">
    <w:abstractNumId w:val="11"/>
  </w:num>
  <w:num w:numId="13">
    <w:abstractNumId w:val="7"/>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8A"/>
    <w:rsid w:val="00011A8A"/>
    <w:rsid w:val="004A618C"/>
    <w:rsid w:val="007C5BC5"/>
    <w:rsid w:val="009F4CBD"/>
    <w:rsid w:val="00A4268A"/>
    <w:rsid w:val="00AB5633"/>
    <w:rsid w:val="00F11B25"/>
    <w:rsid w:val="00F759F0"/>
    <w:rsid w:val="00FB5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268A"/>
    <w:rPr>
      <w:color w:val="0000FF" w:themeColor="hyperlink"/>
      <w:u w:val="single"/>
    </w:rPr>
  </w:style>
  <w:style w:type="paragraph" w:styleId="a4">
    <w:name w:val="List Paragraph"/>
    <w:basedOn w:val="a"/>
    <w:uiPriority w:val="34"/>
    <w:qFormat/>
    <w:rsid w:val="009F4C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268A"/>
    <w:rPr>
      <w:color w:val="0000FF" w:themeColor="hyperlink"/>
      <w:u w:val="single"/>
    </w:rPr>
  </w:style>
  <w:style w:type="paragraph" w:styleId="a4">
    <w:name w:val="List Paragraph"/>
    <w:basedOn w:val="a"/>
    <w:uiPriority w:val="34"/>
    <w:qFormat/>
    <w:rsid w:val="009F4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797">
      <w:bodyDiv w:val="1"/>
      <w:marLeft w:val="0"/>
      <w:marRight w:val="0"/>
      <w:marTop w:val="0"/>
      <w:marBottom w:val="0"/>
      <w:divBdr>
        <w:top w:val="none" w:sz="0" w:space="0" w:color="auto"/>
        <w:left w:val="none" w:sz="0" w:space="0" w:color="auto"/>
        <w:bottom w:val="none" w:sz="0" w:space="0" w:color="auto"/>
        <w:right w:val="none" w:sz="0" w:space="0" w:color="auto"/>
      </w:divBdr>
    </w:div>
    <w:div w:id="1037511180">
      <w:bodyDiv w:val="1"/>
      <w:marLeft w:val="0"/>
      <w:marRight w:val="0"/>
      <w:marTop w:val="0"/>
      <w:marBottom w:val="0"/>
      <w:divBdr>
        <w:top w:val="none" w:sz="0" w:space="0" w:color="auto"/>
        <w:left w:val="none" w:sz="0" w:space="0" w:color="auto"/>
        <w:bottom w:val="none" w:sz="0" w:space="0" w:color="auto"/>
        <w:right w:val="none" w:sz="0" w:space="0" w:color="auto"/>
      </w:divBdr>
      <w:divsChild>
        <w:div w:id="1076822024">
          <w:marLeft w:val="0"/>
          <w:marRight w:val="0"/>
          <w:marTop w:val="0"/>
          <w:marBottom w:val="0"/>
          <w:divBdr>
            <w:top w:val="none" w:sz="0" w:space="0" w:color="auto"/>
            <w:left w:val="none" w:sz="0" w:space="0" w:color="auto"/>
            <w:bottom w:val="none" w:sz="0" w:space="0" w:color="auto"/>
            <w:right w:val="none" w:sz="0" w:space="0" w:color="auto"/>
          </w:divBdr>
        </w:div>
        <w:div w:id="257374175">
          <w:marLeft w:val="0"/>
          <w:marRight w:val="0"/>
          <w:marTop w:val="0"/>
          <w:marBottom w:val="0"/>
          <w:divBdr>
            <w:top w:val="none" w:sz="0" w:space="0" w:color="auto"/>
            <w:left w:val="none" w:sz="0" w:space="0" w:color="auto"/>
            <w:bottom w:val="none" w:sz="0" w:space="0" w:color="auto"/>
            <w:right w:val="none" w:sz="0" w:space="0" w:color="auto"/>
          </w:divBdr>
        </w:div>
        <w:div w:id="682588313">
          <w:marLeft w:val="0"/>
          <w:marRight w:val="0"/>
          <w:marTop w:val="0"/>
          <w:marBottom w:val="0"/>
          <w:divBdr>
            <w:top w:val="none" w:sz="0" w:space="0" w:color="auto"/>
            <w:left w:val="none" w:sz="0" w:space="0" w:color="auto"/>
            <w:bottom w:val="none" w:sz="0" w:space="0" w:color="auto"/>
            <w:right w:val="none" w:sz="0" w:space="0" w:color="auto"/>
          </w:divBdr>
        </w:div>
      </w:divsChild>
    </w:div>
    <w:div w:id="1088967929">
      <w:bodyDiv w:val="1"/>
      <w:marLeft w:val="0"/>
      <w:marRight w:val="0"/>
      <w:marTop w:val="0"/>
      <w:marBottom w:val="0"/>
      <w:divBdr>
        <w:top w:val="none" w:sz="0" w:space="0" w:color="auto"/>
        <w:left w:val="none" w:sz="0" w:space="0" w:color="auto"/>
        <w:bottom w:val="none" w:sz="0" w:space="0" w:color="auto"/>
        <w:right w:val="none" w:sz="0" w:space="0" w:color="auto"/>
      </w:divBdr>
      <w:divsChild>
        <w:div w:id="1273241437">
          <w:marLeft w:val="0"/>
          <w:marRight w:val="0"/>
          <w:marTop w:val="0"/>
          <w:marBottom w:val="0"/>
          <w:divBdr>
            <w:top w:val="none" w:sz="0" w:space="0" w:color="auto"/>
            <w:left w:val="none" w:sz="0" w:space="0" w:color="auto"/>
            <w:bottom w:val="none" w:sz="0" w:space="0" w:color="auto"/>
            <w:right w:val="none" w:sz="0" w:space="0" w:color="auto"/>
          </w:divBdr>
        </w:div>
        <w:div w:id="1651203239">
          <w:marLeft w:val="0"/>
          <w:marRight w:val="0"/>
          <w:marTop w:val="0"/>
          <w:marBottom w:val="0"/>
          <w:divBdr>
            <w:top w:val="none" w:sz="0" w:space="0" w:color="auto"/>
            <w:left w:val="none" w:sz="0" w:space="0" w:color="auto"/>
            <w:bottom w:val="none" w:sz="0" w:space="0" w:color="auto"/>
            <w:right w:val="none" w:sz="0" w:space="0" w:color="auto"/>
          </w:divBdr>
        </w:div>
        <w:div w:id="1444687560">
          <w:marLeft w:val="0"/>
          <w:marRight w:val="0"/>
          <w:marTop w:val="0"/>
          <w:marBottom w:val="0"/>
          <w:divBdr>
            <w:top w:val="none" w:sz="0" w:space="0" w:color="auto"/>
            <w:left w:val="none" w:sz="0" w:space="0" w:color="auto"/>
            <w:bottom w:val="none" w:sz="0" w:space="0" w:color="auto"/>
            <w:right w:val="none" w:sz="0" w:space="0" w:color="auto"/>
          </w:divBdr>
        </w:div>
      </w:divsChild>
    </w:div>
    <w:div w:id="1332293164">
      <w:bodyDiv w:val="1"/>
      <w:marLeft w:val="0"/>
      <w:marRight w:val="0"/>
      <w:marTop w:val="0"/>
      <w:marBottom w:val="0"/>
      <w:divBdr>
        <w:top w:val="none" w:sz="0" w:space="0" w:color="auto"/>
        <w:left w:val="none" w:sz="0" w:space="0" w:color="auto"/>
        <w:bottom w:val="none" w:sz="0" w:space="0" w:color="auto"/>
        <w:right w:val="none" w:sz="0" w:space="0" w:color="auto"/>
      </w:divBdr>
    </w:div>
    <w:div w:id="14926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ingcenter.com/ncblog/august-2017/body-mass-index-and-body-surface-area-what-s-the-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ursingcenter.com/clinical-resources/nursing-pocket-cards/nutritional-assessment" TargetMode="External"/><Relationship Id="rId12" Type="http://schemas.openxmlformats.org/officeDocument/2006/relationships/hyperlink" Target="http://apps.who.int/bmi/index.jsp?introPage=intro_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singcenter.com/clinical-resources/nursing-pocket-cards/the-health-history" TargetMode="External"/><Relationship Id="rId11" Type="http://schemas.openxmlformats.org/officeDocument/2006/relationships/hyperlink" Target="https://www.bapen.org.uk/malnutrition-undernutrition/introduction-to-malnutrition?showall=&amp;start=1" TargetMode="External"/><Relationship Id="rId5" Type="http://schemas.openxmlformats.org/officeDocument/2006/relationships/webSettings" Target="webSettings.xml"/><Relationship Id="rId10" Type="http://schemas.openxmlformats.org/officeDocument/2006/relationships/hyperlink" Target="https://www.nursingcenter.com/clinical-resources/nursing-pocket-cards/head-to-toe-assessment" TargetMode="External"/><Relationship Id="rId4" Type="http://schemas.openxmlformats.org/officeDocument/2006/relationships/settings" Target="settings.xml"/><Relationship Id="rId9" Type="http://schemas.openxmlformats.org/officeDocument/2006/relationships/hyperlink" Target="https://www.nursingcenter.com/clinical-resources/nursing-pocket-cards/quick-guide-to-laboratory-valu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2170</Words>
  <Characters>12374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2023-10-02T06:02:00Z</dcterms:created>
  <dcterms:modified xsi:type="dcterms:W3CDTF">2023-10-02T08:43:00Z</dcterms:modified>
</cp:coreProperties>
</file>